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7C" w:rsidRDefault="004B4F9C" w:rsidP="004B4F9C">
      <w:pPr>
        <w:pStyle w:val="Rubrik1"/>
        <w:tabs>
          <w:tab w:val="left" w:pos="3466"/>
        </w:tabs>
        <w:rPr>
          <w:noProof/>
          <w:sz w:val="32"/>
          <w:szCs w:val="32"/>
        </w:rPr>
      </w:pPr>
      <w:r>
        <w:rPr>
          <w:noProof/>
          <w:sz w:val="32"/>
          <w:szCs w:val="32"/>
        </w:rPr>
        <w:tab/>
      </w:r>
    </w:p>
    <w:p w:rsidR="002250F8" w:rsidRDefault="002250F8" w:rsidP="002250F8">
      <w:pPr>
        <w:pStyle w:val="Rubrik1"/>
        <w:jc w:val="center"/>
        <w:rPr>
          <w:noProof/>
          <w:sz w:val="32"/>
          <w:szCs w:val="32"/>
        </w:rPr>
      </w:pPr>
    </w:p>
    <w:p w:rsidR="00750361" w:rsidRDefault="00750361" w:rsidP="00750361"/>
    <w:p w:rsidR="003043BF" w:rsidRDefault="003043BF" w:rsidP="00750361"/>
    <w:p w:rsidR="003043BF" w:rsidRDefault="003043BF" w:rsidP="00750361"/>
    <w:p w:rsidR="003043BF" w:rsidRDefault="003043BF" w:rsidP="00750361"/>
    <w:p w:rsidR="003043BF" w:rsidRDefault="003043BF" w:rsidP="00750361"/>
    <w:p w:rsidR="00750361" w:rsidRDefault="00750361" w:rsidP="00750361"/>
    <w:p w:rsidR="00750361" w:rsidRDefault="00750361" w:rsidP="00750361"/>
    <w:p w:rsidR="00750361" w:rsidRPr="00750361" w:rsidRDefault="00750361" w:rsidP="00750361"/>
    <w:p w:rsidR="002250F8" w:rsidRDefault="002250F8" w:rsidP="002250F8">
      <w:pPr>
        <w:pStyle w:val="Rubrik1"/>
        <w:jc w:val="center"/>
        <w:rPr>
          <w:sz w:val="32"/>
          <w:szCs w:val="32"/>
        </w:rPr>
      </w:pPr>
    </w:p>
    <w:p w:rsidR="00725D82" w:rsidRPr="00852909" w:rsidRDefault="00C5127E" w:rsidP="00CD779A">
      <w:pPr>
        <w:pStyle w:val="Rubrik"/>
      </w:pPr>
      <w:r w:rsidRPr="00852909">
        <w:t>Medborgarservice är service</w:t>
      </w:r>
    </w:p>
    <w:p w:rsidR="00725D82" w:rsidRPr="00CD779A" w:rsidRDefault="00C5127E" w:rsidP="00CD779A">
      <w:pPr>
        <w:pStyle w:val="Rubrik"/>
        <w:rPr>
          <w:rStyle w:val="Stark"/>
          <w:b w:val="0"/>
          <w:bCs w:val="0"/>
        </w:rPr>
      </w:pPr>
      <w:r w:rsidRPr="00852909">
        <w:t>för alla medborgare</w:t>
      </w:r>
    </w:p>
    <w:p w:rsidR="00725D82" w:rsidRDefault="00725D82" w:rsidP="00CD779A">
      <w:pPr>
        <w:pStyle w:val="Rubrik"/>
        <w:rPr>
          <w:rStyle w:val="Stark"/>
        </w:rPr>
      </w:pPr>
    </w:p>
    <w:p w:rsidR="00240746" w:rsidRPr="00852909" w:rsidRDefault="00C079F9" w:rsidP="00CD779A">
      <w:pPr>
        <w:pStyle w:val="Rubrik1"/>
        <w:rPr>
          <w:rStyle w:val="Stark"/>
          <w:color w:val="4F81BD" w:themeColor="accent1"/>
        </w:rPr>
      </w:pPr>
      <w:bookmarkStart w:id="0" w:name="_Toc431991686"/>
      <w:r w:rsidRPr="00852909">
        <w:rPr>
          <w:rStyle w:val="Stark"/>
          <w:color w:val="4F81BD" w:themeColor="accent1"/>
        </w:rPr>
        <w:t>Handlingsplan för t</w:t>
      </w:r>
      <w:r w:rsidR="00240746" w:rsidRPr="00852909">
        <w:rPr>
          <w:rStyle w:val="Stark"/>
          <w:color w:val="4F81BD" w:themeColor="accent1"/>
        </w:rPr>
        <w:t xml:space="preserve">illgänglighet på </w:t>
      </w:r>
      <w:proofErr w:type="spellStart"/>
      <w:r w:rsidR="00240746" w:rsidRPr="00852909">
        <w:rPr>
          <w:rStyle w:val="Stark"/>
          <w:color w:val="4F81BD" w:themeColor="accent1"/>
        </w:rPr>
        <w:t>goteborg.se</w:t>
      </w:r>
      <w:bookmarkEnd w:id="0"/>
      <w:proofErr w:type="spellEnd"/>
    </w:p>
    <w:p w:rsidR="00D6046E" w:rsidRDefault="00D6046E" w:rsidP="00240746"/>
    <w:p w:rsidR="002250F8" w:rsidRDefault="002250F8">
      <w:r>
        <w:br w:type="page"/>
      </w:r>
    </w:p>
    <w:sdt>
      <w:sdtPr>
        <w:rPr>
          <w:rFonts w:ascii="Times New Roman" w:eastAsia="Times New Roman" w:hAnsi="Times New Roman" w:cs="Times New Roman"/>
          <w:b w:val="0"/>
          <w:bCs w:val="0"/>
          <w:color w:val="auto"/>
          <w:sz w:val="24"/>
          <w:szCs w:val="24"/>
          <w:lang w:eastAsia="sv-SE"/>
        </w:rPr>
        <w:id w:val="21267898"/>
        <w:docPartObj>
          <w:docPartGallery w:val="Table of Contents"/>
          <w:docPartUnique/>
        </w:docPartObj>
      </w:sdtPr>
      <w:sdtContent>
        <w:p w:rsidR="00725D82" w:rsidRDefault="00725D82">
          <w:pPr>
            <w:pStyle w:val="Innehllsfrteckningsrubrik"/>
          </w:pPr>
          <w:r>
            <w:t>Innehåll</w:t>
          </w:r>
        </w:p>
        <w:p w:rsidR="007216EC" w:rsidRDefault="008302CA">
          <w:pPr>
            <w:pStyle w:val="Innehll1"/>
            <w:tabs>
              <w:tab w:val="right" w:leader="dot" w:pos="9062"/>
            </w:tabs>
            <w:rPr>
              <w:rFonts w:asciiTheme="minorHAnsi" w:eastAsiaTheme="minorEastAsia" w:hAnsiTheme="minorHAnsi" w:cstheme="minorBidi"/>
              <w:noProof/>
              <w:sz w:val="22"/>
              <w:szCs w:val="22"/>
            </w:rPr>
          </w:pPr>
          <w:r>
            <w:fldChar w:fldCharType="begin"/>
          </w:r>
          <w:r w:rsidR="00725D82">
            <w:instrText xml:space="preserve"> TOC \o "1-3" \h \z \u </w:instrText>
          </w:r>
          <w:r>
            <w:fldChar w:fldCharType="separate"/>
          </w:r>
          <w:hyperlink w:anchor="_Toc431991686" w:history="1">
            <w:r w:rsidR="007216EC" w:rsidRPr="00E40932">
              <w:rPr>
                <w:rStyle w:val="Hyperlnk"/>
                <w:noProof/>
              </w:rPr>
              <w:t>Handlingsplan för tillgänglighet på goteborg.se</w:t>
            </w:r>
            <w:r w:rsidR="007216EC">
              <w:rPr>
                <w:noProof/>
                <w:webHidden/>
              </w:rPr>
              <w:tab/>
            </w:r>
            <w:r>
              <w:rPr>
                <w:noProof/>
                <w:webHidden/>
              </w:rPr>
              <w:fldChar w:fldCharType="begin"/>
            </w:r>
            <w:r w:rsidR="007216EC">
              <w:rPr>
                <w:noProof/>
                <w:webHidden/>
              </w:rPr>
              <w:instrText xml:space="preserve"> PAGEREF _Toc431991686 \h </w:instrText>
            </w:r>
            <w:r>
              <w:rPr>
                <w:noProof/>
                <w:webHidden/>
              </w:rPr>
            </w:r>
            <w:r>
              <w:rPr>
                <w:noProof/>
                <w:webHidden/>
              </w:rPr>
              <w:fldChar w:fldCharType="separate"/>
            </w:r>
            <w:r w:rsidR="007216EC">
              <w:rPr>
                <w:noProof/>
                <w:webHidden/>
              </w:rPr>
              <w:t>1</w:t>
            </w:r>
            <w:r>
              <w:rPr>
                <w:noProof/>
                <w:webHidden/>
              </w:rPr>
              <w:fldChar w:fldCharType="end"/>
            </w:r>
          </w:hyperlink>
        </w:p>
        <w:p w:rsidR="007216EC" w:rsidRDefault="008302CA">
          <w:pPr>
            <w:pStyle w:val="Innehll1"/>
            <w:tabs>
              <w:tab w:val="right" w:leader="dot" w:pos="9062"/>
            </w:tabs>
            <w:rPr>
              <w:rFonts w:asciiTheme="minorHAnsi" w:eastAsiaTheme="minorEastAsia" w:hAnsiTheme="minorHAnsi" w:cstheme="minorBidi"/>
              <w:noProof/>
              <w:sz w:val="22"/>
              <w:szCs w:val="22"/>
            </w:rPr>
          </w:pPr>
          <w:hyperlink w:anchor="_Toc431991687" w:history="1">
            <w:r w:rsidR="007216EC" w:rsidRPr="00E40932">
              <w:rPr>
                <w:rStyle w:val="Hyperlnk"/>
                <w:noProof/>
              </w:rPr>
              <w:t>Så här ökar vi tillgängligheten på goteborg.se</w:t>
            </w:r>
            <w:r w:rsidR="007216EC">
              <w:rPr>
                <w:noProof/>
                <w:webHidden/>
              </w:rPr>
              <w:tab/>
            </w:r>
            <w:r>
              <w:rPr>
                <w:noProof/>
                <w:webHidden/>
              </w:rPr>
              <w:fldChar w:fldCharType="begin"/>
            </w:r>
            <w:r w:rsidR="007216EC">
              <w:rPr>
                <w:noProof/>
                <w:webHidden/>
              </w:rPr>
              <w:instrText xml:space="preserve"> PAGEREF _Toc431991687 \h </w:instrText>
            </w:r>
            <w:r>
              <w:rPr>
                <w:noProof/>
                <w:webHidden/>
              </w:rPr>
            </w:r>
            <w:r>
              <w:rPr>
                <w:noProof/>
                <w:webHidden/>
              </w:rPr>
              <w:fldChar w:fldCharType="separate"/>
            </w:r>
            <w:r w:rsidR="007216EC">
              <w:rPr>
                <w:noProof/>
                <w:webHidden/>
              </w:rPr>
              <w:t>3</w:t>
            </w:r>
            <w:r>
              <w:rPr>
                <w:noProof/>
                <w:webHidden/>
              </w:rPr>
              <w:fldChar w:fldCharType="end"/>
            </w:r>
          </w:hyperlink>
        </w:p>
        <w:p w:rsidR="007216EC" w:rsidRDefault="008302CA">
          <w:pPr>
            <w:pStyle w:val="Innehll1"/>
            <w:tabs>
              <w:tab w:val="right" w:leader="dot" w:pos="9062"/>
            </w:tabs>
            <w:rPr>
              <w:rFonts w:asciiTheme="minorHAnsi" w:eastAsiaTheme="minorEastAsia" w:hAnsiTheme="minorHAnsi" w:cstheme="minorBidi"/>
              <w:noProof/>
              <w:sz w:val="22"/>
              <w:szCs w:val="22"/>
            </w:rPr>
          </w:pPr>
          <w:hyperlink w:anchor="_Toc431991688" w:history="1">
            <w:r w:rsidR="007216EC" w:rsidRPr="00E40932">
              <w:rPr>
                <w:rStyle w:val="Hyperlnk"/>
                <w:noProof/>
              </w:rPr>
              <w:t>Varför?</w:t>
            </w:r>
            <w:r w:rsidR="007216EC">
              <w:rPr>
                <w:noProof/>
                <w:webHidden/>
              </w:rPr>
              <w:tab/>
            </w:r>
            <w:r>
              <w:rPr>
                <w:noProof/>
                <w:webHidden/>
              </w:rPr>
              <w:fldChar w:fldCharType="begin"/>
            </w:r>
            <w:r w:rsidR="007216EC">
              <w:rPr>
                <w:noProof/>
                <w:webHidden/>
              </w:rPr>
              <w:instrText xml:space="preserve"> PAGEREF _Toc431991688 \h </w:instrText>
            </w:r>
            <w:r>
              <w:rPr>
                <w:noProof/>
                <w:webHidden/>
              </w:rPr>
            </w:r>
            <w:r>
              <w:rPr>
                <w:noProof/>
                <w:webHidden/>
              </w:rPr>
              <w:fldChar w:fldCharType="separate"/>
            </w:r>
            <w:r w:rsidR="007216EC">
              <w:rPr>
                <w:noProof/>
                <w:webHidden/>
              </w:rPr>
              <w:t>3</w:t>
            </w:r>
            <w:r>
              <w:rPr>
                <w:noProof/>
                <w:webHidden/>
              </w:rPr>
              <w:fldChar w:fldCharType="end"/>
            </w:r>
          </w:hyperlink>
        </w:p>
        <w:p w:rsidR="007216EC" w:rsidRDefault="008302CA">
          <w:pPr>
            <w:pStyle w:val="Innehll1"/>
            <w:tabs>
              <w:tab w:val="right" w:leader="dot" w:pos="9062"/>
            </w:tabs>
            <w:rPr>
              <w:rFonts w:asciiTheme="minorHAnsi" w:eastAsiaTheme="minorEastAsia" w:hAnsiTheme="minorHAnsi" w:cstheme="minorBidi"/>
              <w:noProof/>
              <w:sz w:val="22"/>
              <w:szCs w:val="22"/>
            </w:rPr>
          </w:pPr>
          <w:hyperlink w:anchor="_Toc431991689" w:history="1">
            <w:r w:rsidR="007216EC" w:rsidRPr="00E40932">
              <w:rPr>
                <w:rStyle w:val="Hyperlnk"/>
                <w:noProof/>
              </w:rPr>
              <w:t>Tillgänglighet på goteborg.se</w:t>
            </w:r>
            <w:r w:rsidR="007216EC">
              <w:rPr>
                <w:noProof/>
                <w:webHidden/>
              </w:rPr>
              <w:tab/>
            </w:r>
            <w:r>
              <w:rPr>
                <w:noProof/>
                <w:webHidden/>
              </w:rPr>
              <w:fldChar w:fldCharType="begin"/>
            </w:r>
            <w:r w:rsidR="007216EC">
              <w:rPr>
                <w:noProof/>
                <w:webHidden/>
              </w:rPr>
              <w:instrText xml:space="preserve"> PAGEREF _Toc431991689 \h </w:instrText>
            </w:r>
            <w:r>
              <w:rPr>
                <w:noProof/>
                <w:webHidden/>
              </w:rPr>
            </w:r>
            <w:r>
              <w:rPr>
                <w:noProof/>
                <w:webHidden/>
              </w:rPr>
              <w:fldChar w:fldCharType="separate"/>
            </w:r>
            <w:r w:rsidR="007216EC">
              <w:rPr>
                <w:noProof/>
                <w:webHidden/>
              </w:rPr>
              <w:t>5</w:t>
            </w:r>
            <w:r>
              <w:rPr>
                <w:noProof/>
                <w:webHidden/>
              </w:rPr>
              <w:fldChar w:fldCharType="end"/>
            </w:r>
          </w:hyperlink>
        </w:p>
        <w:p w:rsidR="007216EC" w:rsidRDefault="008302CA">
          <w:pPr>
            <w:pStyle w:val="Innehll1"/>
            <w:tabs>
              <w:tab w:val="right" w:leader="dot" w:pos="9062"/>
            </w:tabs>
            <w:rPr>
              <w:rFonts w:asciiTheme="minorHAnsi" w:eastAsiaTheme="minorEastAsia" w:hAnsiTheme="minorHAnsi" w:cstheme="minorBidi"/>
              <w:noProof/>
              <w:sz w:val="22"/>
              <w:szCs w:val="22"/>
            </w:rPr>
          </w:pPr>
          <w:hyperlink w:anchor="_Toc431991690" w:history="1">
            <w:r w:rsidR="007216EC" w:rsidRPr="00E40932">
              <w:rPr>
                <w:rStyle w:val="Hyperlnk"/>
                <w:noProof/>
              </w:rPr>
              <w:t>Läs mer om tillgänglighet här – Länkar till myndigheter</w:t>
            </w:r>
            <w:r w:rsidR="007216EC">
              <w:rPr>
                <w:noProof/>
                <w:webHidden/>
              </w:rPr>
              <w:tab/>
            </w:r>
            <w:r>
              <w:rPr>
                <w:noProof/>
                <w:webHidden/>
              </w:rPr>
              <w:fldChar w:fldCharType="begin"/>
            </w:r>
            <w:r w:rsidR="007216EC">
              <w:rPr>
                <w:noProof/>
                <w:webHidden/>
              </w:rPr>
              <w:instrText xml:space="preserve"> PAGEREF _Toc431991690 \h </w:instrText>
            </w:r>
            <w:r>
              <w:rPr>
                <w:noProof/>
                <w:webHidden/>
              </w:rPr>
            </w:r>
            <w:r>
              <w:rPr>
                <w:noProof/>
                <w:webHidden/>
              </w:rPr>
              <w:fldChar w:fldCharType="separate"/>
            </w:r>
            <w:r w:rsidR="007216EC">
              <w:rPr>
                <w:noProof/>
                <w:webHidden/>
              </w:rPr>
              <w:t>9</w:t>
            </w:r>
            <w:r>
              <w:rPr>
                <w:noProof/>
                <w:webHidden/>
              </w:rPr>
              <w:fldChar w:fldCharType="end"/>
            </w:r>
          </w:hyperlink>
        </w:p>
        <w:p w:rsidR="00725D82" w:rsidRDefault="008302CA">
          <w:r>
            <w:fldChar w:fldCharType="end"/>
          </w:r>
        </w:p>
      </w:sdtContent>
    </w:sdt>
    <w:p w:rsidR="00725D82" w:rsidRPr="00725D82" w:rsidRDefault="00725D82" w:rsidP="00725D82"/>
    <w:p w:rsidR="00782663" w:rsidRDefault="00782663">
      <w:r>
        <w:br w:type="page"/>
      </w:r>
    </w:p>
    <w:p w:rsidR="00554F46" w:rsidRDefault="00554F46" w:rsidP="00D55041">
      <w:pPr>
        <w:pStyle w:val="Rubrik1"/>
      </w:pPr>
      <w:bookmarkStart w:id="1" w:name="_Toc431991687"/>
      <w:r w:rsidRPr="008853EA">
        <w:lastRenderedPageBreak/>
        <w:t xml:space="preserve">Så här ökar vi tillgängligheten på </w:t>
      </w:r>
      <w:proofErr w:type="spellStart"/>
      <w:r w:rsidRPr="008853EA">
        <w:t>goteborg.se</w:t>
      </w:r>
      <w:bookmarkEnd w:id="1"/>
      <w:proofErr w:type="spellEnd"/>
    </w:p>
    <w:p w:rsidR="00B10F3C" w:rsidRPr="00B10F3C" w:rsidRDefault="00B10F3C" w:rsidP="00B10F3C"/>
    <w:p w:rsidR="009C2B95" w:rsidRDefault="009C2B95" w:rsidP="009C2B95">
      <w:r>
        <w:t>Medborgarservice är service för alla medborgare. För oss som publicerar på Göteborgs Stads externa</w:t>
      </w:r>
      <w:r w:rsidR="00EF5901">
        <w:t xml:space="preserve"> </w:t>
      </w:r>
      <w:r>
        <w:t xml:space="preserve">webbplatser innebär det att all information och alla tjänster ska vara tillgängliga och begripliga för alla besökare. </w:t>
      </w:r>
    </w:p>
    <w:p w:rsidR="009C2B95" w:rsidRDefault="009C2B95" w:rsidP="009C2B95"/>
    <w:p w:rsidR="00910AC1" w:rsidRDefault="00910AC1" w:rsidP="00910AC1">
      <w:r>
        <w:t xml:space="preserve">Tillgänglighet på </w:t>
      </w:r>
      <w:proofErr w:type="spellStart"/>
      <w:r>
        <w:t>goteborg.se</w:t>
      </w:r>
      <w:proofErr w:type="spellEnd"/>
      <w:r>
        <w:t xml:space="preserve"> handlar om att öppna upp webbplatsen så att fler får tillgång till den. Målet är att ge boende, besökare, företagare och konsumenter med eller utan funktionsnedsättningar likvärdiga förutsättningar att hitta information och använda sig av Göteborgs Stads service och tjänster. </w:t>
      </w:r>
    </w:p>
    <w:p w:rsidR="00910AC1" w:rsidRDefault="00910AC1" w:rsidP="00910AC1"/>
    <w:p w:rsidR="00350285" w:rsidRDefault="00350285" w:rsidP="00350285">
      <w:r>
        <w:t xml:space="preserve">Det här dokumentet innehåller en checklista för att underlätta för dig som är redaktör. Följer du checklistan i allt innehåll som du skapar eller uppdaterar så är du med </w:t>
      </w:r>
      <w:r w:rsidR="00D454E8">
        <w:t xml:space="preserve">och tillgängliggör </w:t>
      </w:r>
      <w:proofErr w:type="spellStart"/>
      <w:r w:rsidR="00D454E8">
        <w:t>goteborg.se</w:t>
      </w:r>
      <w:proofErr w:type="spellEnd"/>
      <w:r w:rsidR="00D454E8">
        <w:t>.</w:t>
      </w:r>
    </w:p>
    <w:p w:rsidR="00350285" w:rsidRDefault="00350285" w:rsidP="00350285"/>
    <w:p w:rsidR="00265C7E" w:rsidRDefault="00265C7E" w:rsidP="004C39D4">
      <w:r>
        <w:t xml:space="preserve">Det här dokumentet sammanfattar </w:t>
      </w:r>
      <w:r w:rsidR="00350285">
        <w:t xml:space="preserve">också </w:t>
      </w:r>
      <w:r>
        <w:t xml:space="preserve">några av de </w:t>
      </w:r>
      <w:r w:rsidR="00627F38">
        <w:t xml:space="preserve">större </w:t>
      </w:r>
      <w:r>
        <w:t>åtgärder som vi behöver göra</w:t>
      </w:r>
      <w:r w:rsidR="00627F38">
        <w:t xml:space="preserve"> på kort och lång sikt </w:t>
      </w:r>
      <w:r>
        <w:t xml:space="preserve">för att öka tillgängligheten på </w:t>
      </w:r>
      <w:proofErr w:type="spellStart"/>
      <w:r>
        <w:t>goteborg.se</w:t>
      </w:r>
      <w:proofErr w:type="spellEnd"/>
      <w:r>
        <w:t xml:space="preserve">. </w:t>
      </w:r>
    </w:p>
    <w:p w:rsidR="00265C7E" w:rsidRDefault="00265C7E" w:rsidP="004C39D4"/>
    <w:p w:rsidR="004C39D4" w:rsidRDefault="00554F46" w:rsidP="004C39D4">
      <w:r>
        <w:t>Det här dokumentet är</w:t>
      </w:r>
      <w:r w:rsidR="006C66CF">
        <w:t xml:space="preserve"> främst</w:t>
      </w:r>
      <w:r>
        <w:t xml:space="preserve"> till för </w:t>
      </w:r>
      <w:r w:rsidR="00E87734">
        <w:t>redaktörer</w:t>
      </w:r>
      <w:r w:rsidR="003C195D">
        <w:t xml:space="preserve"> </w:t>
      </w:r>
      <w:r w:rsidR="00956839">
        <w:t xml:space="preserve">och huvudredaktörer </w:t>
      </w:r>
      <w:r w:rsidR="003C195D">
        <w:t xml:space="preserve">på </w:t>
      </w:r>
      <w:proofErr w:type="spellStart"/>
      <w:r w:rsidR="003C195D">
        <w:t>goteborg.se</w:t>
      </w:r>
      <w:proofErr w:type="spellEnd"/>
      <w:r w:rsidR="00E87734">
        <w:t xml:space="preserve">. </w:t>
      </w:r>
      <w:r w:rsidR="004C39D4">
        <w:t xml:space="preserve">Delar av innehållet kommer </w:t>
      </w:r>
      <w:r w:rsidR="00CD12C9">
        <w:t xml:space="preserve">också </w:t>
      </w:r>
      <w:r w:rsidR="004C39D4">
        <w:t xml:space="preserve">att användas </w:t>
      </w:r>
      <w:r w:rsidR="003C195D">
        <w:t xml:space="preserve">i grundutbildningen för nya </w:t>
      </w:r>
      <w:r w:rsidR="004C39D4">
        <w:t xml:space="preserve">redaktörer. </w:t>
      </w:r>
    </w:p>
    <w:p w:rsidR="00503D32" w:rsidRDefault="00503D32" w:rsidP="00503D32"/>
    <w:p w:rsidR="001F07DF" w:rsidRDefault="004C39D4" w:rsidP="00503D32">
      <w:r>
        <w:t xml:space="preserve">Att granska tillgängligheten på </w:t>
      </w:r>
      <w:proofErr w:type="spellStart"/>
      <w:r>
        <w:t>goteborg.se</w:t>
      </w:r>
      <w:proofErr w:type="spellEnd"/>
      <w:r>
        <w:t xml:space="preserve"> ingår i underhållsarbetet som sker löpande varje år. </w:t>
      </w:r>
    </w:p>
    <w:p w:rsidR="009A4D8C" w:rsidRDefault="009A4D8C" w:rsidP="00503D32"/>
    <w:p w:rsidR="00857B7D" w:rsidRDefault="00857B7D" w:rsidP="00857B7D">
      <w:pPr>
        <w:pStyle w:val="Rubrik1"/>
      </w:pPr>
      <w:bookmarkStart w:id="2" w:name="_Toc431991688"/>
      <w:r>
        <w:t>Varför?</w:t>
      </w:r>
      <w:bookmarkEnd w:id="2"/>
      <w:r>
        <w:t xml:space="preserve"> </w:t>
      </w:r>
    </w:p>
    <w:p w:rsidR="00857B7D" w:rsidRDefault="00857B7D" w:rsidP="00503D32"/>
    <w:p w:rsidR="00857B7D" w:rsidRDefault="00857B7D" w:rsidP="00857B7D">
      <w:r>
        <w:t xml:space="preserve">Från och med 1 jan 2015 står bristande tillgänglighet med i diskrimineringslagen. Funktionshinder är ju sedan tidigare en av diskrimineringsgrunderna, men nu finns en skärpning i lagtexten att man på grund av bristande tillgänglighet inte får diskriminera någon. </w:t>
      </w:r>
    </w:p>
    <w:p w:rsidR="00857B7D" w:rsidRDefault="00857B7D" w:rsidP="00857B7D"/>
    <w:p w:rsidR="00857B7D" w:rsidRDefault="00857B7D" w:rsidP="00857B7D">
      <w:r>
        <w:t xml:space="preserve">DO beskriver det nya förbudet så här: </w:t>
      </w:r>
    </w:p>
    <w:p w:rsidR="00857B7D" w:rsidRDefault="00857B7D" w:rsidP="00857B7D">
      <w:r>
        <w:t xml:space="preserve">”Personer med funktionsnedsättningar ska kunna delta i samhället på likvärdiga villkor. ”Det behöver inte vara likadant som för personer utan funktionsnedsättning men det ska vara en ”jämförbar situation”. </w:t>
      </w:r>
    </w:p>
    <w:p w:rsidR="00857B7D" w:rsidRDefault="00857B7D" w:rsidP="00857B7D"/>
    <w:p w:rsidR="004133C8" w:rsidRDefault="009C2B95" w:rsidP="009C2B95">
      <w:r>
        <w:t>I Göteborgs Stad finns det finns ett nytt program för full delaktighet för personer med funktionsnedsättning (dnr 0896/13)</w:t>
      </w:r>
      <w:r w:rsidR="00B25DCB">
        <w:t>. Programmet</w:t>
      </w:r>
      <w:r w:rsidR="00826BFB">
        <w:t xml:space="preserve"> </w:t>
      </w:r>
      <w:r>
        <w:t>bygger på visionen att personer med olika funktionsnedsättningar ska fullt ut kunna leva ett gott liv i Göteborg</w:t>
      </w:r>
      <w:r w:rsidR="00A43DAC">
        <w:t>.</w:t>
      </w:r>
    </w:p>
    <w:p w:rsidR="004133C8" w:rsidRDefault="004133C8" w:rsidP="009C2B95"/>
    <w:p w:rsidR="00747450" w:rsidRDefault="00747450" w:rsidP="009C2B95"/>
    <w:p w:rsidR="00A43DAC" w:rsidRPr="00D13777" w:rsidRDefault="00A43DAC" w:rsidP="009C2B95">
      <w:pPr>
        <w:rPr>
          <w:b/>
        </w:rPr>
      </w:pPr>
      <w:r w:rsidRPr="00D13777">
        <w:rPr>
          <w:b/>
        </w:rPr>
        <w:t xml:space="preserve"> I</w:t>
      </w:r>
      <w:r w:rsidR="003047A3">
        <w:rPr>
          <w:b/>
        </w:rPr>
        <w:t xml:space="preserve"> p</w:t>
      </w:r>
      <w:r w:rsidRPr="00D13777">
        <w:rPr>
          <w:b/>
        </w:rPr>
        <w:t xml:space="preserve">rogrammet finns en rad rättigheter som </w:t>
      </w:r>
      <w:r w:rsidR="003047A3">
        <w:rPr>
          <w:b/>
        </w:rPr>
        <w:t xml:space="preserve">berör upplevelsen av tillgänglighet </w:t>
      </w:r>
      <w:r w:rsidR="005F3346">
        <w:rPr>
          <w:b/>
        </w:rPr>
        <w:t xml:space="preserve">på webbplatsen: </w:t>
      </w:r>
    </w:p>
    <w:p w:rsidR="004133C8" w:rsidRDefault="004133C8" w:rsidP="009C2B95"/>
    <w:p w:rsidR="004133C8" w:rsidRPr="00D13777" w:rsidRDefault="004133C8" w:rsidP="00D13777">
      <w:pPr>
        <w:pStyle w:val="Liststycke"/>
        <w:numPr>
          <w:ilvl w:val="0"/>
          <w:numId w:val="16"/>
        </w:numPr>
        <w:rPr>
          <w:b/>
        </w:rPr>
      </w:pPr>
      <w:r w:rsidRPr="00D13777">
        <w:rPr>
          <w:b/>
        </w:rPr>
        <w:t>Rätten till demokratiskt deltagande</w:t>
      </w:r>
    </w:p>
    <w:p w:rsidR="004133C8" w:rsidRDefault="004133C8" w:rsidP="004133C8">
      <w:r>
        <w:t>1:4 Stadens verksamheter ska göra nödvändiga anpassningar så att alla invånare har jämlika förutsättningar att förstå information och uttrycka synpunkter.</w:t>
      </w:r>
    </w:p>
    <w:p w:rsidR="004133C8" w:rsidRDefault="004133C8" w:rsidP="004133C8"/>
    <w:p w:rsidR="004133C8" w:rsidRPr="00D13777" w:rsidRDefault="004133C8" w:rsidP="00D13777">
      <w:pPr>
        <w:pStyle w:val="Liststycke"/>
        <w:numPr>
          <w:ilvl w:val="0"/>
          <w:numId w:val="16"/>
        </w:numPr>
        <w:rPr>
          <w:b/>
        </w:rPr>
      </w:pPr>
      <w:r w:rsidRPr="00D13777">
        <w:rPr>
          <w:b/>
        </w:rPr>
        <w:t>Rätten till omsorg, hälsa och personlig trygghet</w:t>
      </w:r>
    </w:p>
    <w:p w:rsidR="004133C8" w:rsidRDefault="004133C8" w:rsidP="004133C8">
      <w:r>
        <w:lastRenderedPageBreak/>
        <w:t>2:4 Medborgare med funktionsnedsättning ska få information om sina rättigheter och möjligheter. Kommunikationen ska ske på det sätt som individen kan ta del av och förstå.</w:t>
      </w:r>
    </w:p>
    <w:p w:rsidR="004133C8" w:rsidRDefault="004133C8" w:rsidP="004133C8"/>
    <w:p w:rsidR="004133C8" w:rsidRPr="00D13777" w:rsidRDefault="004133C8" w:rsidP="00D13777">
      <w:pPr>
        <w:pStyle w:val="Liststycke"/>
        <w:numPr>
          <w:ilvl w:val="0"/>
          <w:numId w:val="16"/>
        </w:numPr>
        <w:rPr>
          <w:b/>
        </w:rPr>
      </w:pPr>
      <w:r w:rsidRPr="00D13777">
        <w:rPr>
          <w:b/>
        </w:rPr>
        <w:t xml:space="preserve"> Rätten till utbildning</w:t>
      </w:r>
    </w:p>
    <w:p w:rsidR="004133C8" w:rsidRDefault="004133C8" w:rsidP="004133C8">
      <w:r>
        <w:t>3:3 Information om möjligheter och rättigheter ska ges på det sätt som den enskilde invånaren kan ta del av och förstå.</w:t>
      </w:r>
    </w:p>
    <w:p w:rsidR="004133C8" w:rsidRDefault="004133C8" w:rsidP="004133C8"/>
    <w:p w:rsidR="004133C8" w:rsidRPr="00D13777" w:rsidRDefault="004133C8" w:rsidP="00D13777">
      <w:pPr>
        <w:pStyle w:val="Liststycke"/>
        <w:numPr>
          <w:ilvl w:val="0"/>
          <w:numId w:val="16"/>
        </w:numPr>
        <w:rPr>
          <w:b/>
        </w:rPr>
      </w:pPr>
      <w:r w:rsidRPr="00D13777">
        <w:rPr>
          <w:b/>
        </w:rPr>
        <w:t>Rätten till arbete och bostad</w:t>
      </w:r>
    </w:p>
    <w:p w:rsidR="004133C8" w:rsidRDefault="004133C8" w:rsidP="004133C8">
      <w:r>
        <w:t>4:5 Information om möjligheter till arbete och/eller bostad ska ges på det sätt som medborgaren kan ta del av och förstå.</w:t>
      </w:r>
    </w:p>
    <w:p w:rsidR="004133C8" w:rsidRDefault="004133C8" w:rsidP="004133C8"/>
    <w:p w:rsidR="004133C8" w:rsidRPr="00D13777" w:rsidRDefault="004133C8" w:rsidP="00D13777">
      <w:pPr>
        <w:pStyle w:val="Liststycke"/>
        <w:numPr>
          <w:ilvl w:val="0"/>
          <w:numId w:val="16"/>
        </w:numPr>
        <w:rPr>
          <w:b/>
        </w:rPr>
      </w:pPr>
      <w:r w:rsidRPr="00D13777">
        <w:rPr>
          <w:b/>
        </w:rPr>
        <w:t xml:space="preserve"> Rätten till kultur och fritid</w:t>
      </w:r>
    </w:p>
    <w:p w:rsidR="00857B7D" w:rsidRDefault="004133C8" w:rsidP="004133C8">
      <w:r>
        <w:t>5:3 Information om kultur och fritid ska ges på det sätt som medborgaren kan ta del av och förstå.</w:t>
      </w:r>
    </w:p>
    <w:p w:rsidR="009C1BCA" w:rsidRDefault="009C1BCA">
      <w:r>
        <w:br w:type="page"/>
      </w:r>
    </w:p>
    <w:p w:rsidR="00EB0BF5" w:rsidRDefault="00782663" w:rsidP="008853EA">
      <w:pPr>
        <w:pStyle w:val="Rubrik1"/>
      </w:pPr>
      <w:bookmarkStart w:id="3" w:name="_Toc431991689"/>
      <w:r>
        <w:lastRenderedPageBreak/>
        <w:t>T</w:t>
      </w:r>
      <w:r w:rsidRPr="00B72F76">
        <w:t xml:space="preserve">illgänglighet på </w:t>
      </w:r>
      <w:proofErr w:type="spellStart"/>
      <w:r w:rsidRPr="00B72F76">
        <w:t>goteborg.se</w:t>
      </w:r>
      <w:bookmarkEnd w:id="3"/>
      <w:proofErr w:type="spellEnd"/>
    </w:p>
    <w:p w:rsidR="00FF5D02" w:rsidRDefault="00FF5D02" w:rsidP="00FF5D02"/>
    <w:p w:rsidR="00FF5D02" w:rsidRDefault="00FF5D02" w:rsidP="00FF5D02">
      <w:pPr>
        <w:pStyle w:val="Underrubrik"/>
        <w:rPr>
          <w:b/>
          <w:i w:val="0"/>
        </w:rPr>
      </w:pPr>
      <w:r w:rsidRPr="00FF5D02">
        <w:rPr>
          <w:b/>
          <w:i w:val="0"/>
        </w:rPr>
        <w:t>Riktlinjer</w:t>
      </w:r>
    </w:p>
    <w:p w:rsidR="00FF5D02" w:rsidRDefault="00FF5D02" w:rsidP="00FF5D02">
      <w:r w:rsidRPr="00FF5D02">
        <w:t>Vi ska följa internationella riktlinjer när det gäller webbutveckling (WCAG 2.0 nivå AA) </w:t>
      </w:r>
    </w:p>
    <w:p w:rsidR="00FF5D02" w:rsidRDefault="00FF5D02" w:rsidP="00FF5D02"/>
    <w:p w:rsidR="00FF5D02" w:rsidRPr="00FF5D02" w:rsidRDefault="00FF5D02" w:rsidP="00FF5D02">
      <w:pPr>
        <w:pStyle w:val="Underrubrik"/>
        <w:rPr>
          <w:b/>
          <w:i w:val="0"/>
        </w:rPr>
      </w:pPr>
      <w:r w:rsidRPr="00FF5D02">
        <w:rPr>
          <w:b/>
          <w:i w:val="0"/>
        </w:rPr>
        <w:t>Klarspråk</w:t>
      </w:r>
    </w:p>
    <w:p w:rsidR="000D321E" w:rsidRDefault="00FF5D02" w:rsidP="000D321E">
      <w:r w:rsidRPr="00FF5D02">
        <w:t>All information på våra webbplatser ska skrivas på klarspråk, d v s vi ska använda ett vårdat, enkelt och begripligt språk.</w:t>
      </w:r>
    </w:p>
    <w:p w:rsidR="00FF5D02" w:rsidRDefault="00FF5D02" w:rsidP="000D321E"/>
    <w:p w:rsidR="00FF5D02" w:rsidRDefault="00FF5D02" w:rsidP="00FF5D02">
      <w:pPr>
        <w:pStyle w:val="Underrubrik"/>
        <w:rPr>
          <w:b/>
          <w:i w:val="0"/>
        </w:rPr>
      </w:pPr>
      <w:r w:rsidRPr="00FF5D02">
        <w:rPr>
          <w:b/>
          <w:i w:val="0"/>
        </w:rPr>
        <w:t>Normkritiskt förhållningssätt</w:t>
      </w:r>
    </w:p>
    <w:p w:rsidR="00FF5D02" w:rsidRDefault="00FF5D02" w:rsidP="00FF5D02">
      <w:r w:rsidRPr="00FF5D02">
        <w:t>Vi ska ha ett normkritiskt förhållningssätt när vi publicerar på webben. Vi ska sträva efter att alla medborgare ska känna sig inkluderade.</w:t>
      </w:r>
    </w:p>
    <w:p w:rsidR="009847D0" w:rsidRDefault="009847D0" w:rsidP="00FF5D02"/>
    <w:p w:rsidR="009847D0" w:rsidRPr="009847D0" w:rsidRDefault="009847D0" w:rsidP="009847D0">
      <w:pPr>
        <w:pStyle w:val="Underrubrik"/>
        <w:rPr>
          <w:b/>
          <w:i w:val="0"/>
        </w:rPr>
      </w:pPr>
      <w:r w:rsidRPr="009847D0">
        <w:rPr>
          <w:b/>
          <w:i w:val="0"/>
        </w:rPr>
        <w:t>Checklistor</w:t>
      </w:r>
    </w:p>
    <w:p w:rsidR="00FF5D02" w:rsidRPr="00FF5D02" w:rsidRDefault="009847D0" w:rsidP="00FF5D02">
      <w:r>
        <w:t xml:space="preserve">Det finns uppdaterade checklistor för redaktörer, webbstrateger och webbutvecklare för att säkerställa tillgängligheten på </w:t>
      </w:r>
      <w:proofErr w:type="spellStart"/>
      <w:r>
        <w:t>goteborg.se</w:t>
      </w:r>
      <w:proofErr w:type="spellEnd"/>
    </w:p>
    <w:p w:rsidR="00FF5D02" w:rsidRDefault="00FF5D02" w:rsidP="000D321E"/>
    <w:p w:rsidR="00961895" w:rsidRDefault="00961895" w:rsidP="00961895">
      <w:pPr>
        <w:pStyle w:val="Underrubrik"/>
        <w:rPr>
          <w:b/>
          <w:i w:val="0"/>
        </w:rPr>
      </w:pPr>
      <w:proofErr w:type="spellStart"/>
      <w:r w:rsidRPr="00652EA8">
        <w:rPr>
          <w:b/>
          <w:i w:val="0"/>
        </w:rPr>
        <w:t>Lyssnafunktionen</w:t>
      </w:r>
      <w:proofErr w:type="spellEnd"/>
    </w:p>
    <w:p w:rsidR="00DB4D77" w:rsidRDefault="00961895" w:rsidP="00961895">
      <w:proofErr w:type="spellStart"/>
      <w:r>
        <w:t>Lyssnafunktionen</w:t>
      </w:r>
      <w:proofErr w:type="spellEnd"/>
      <w:r>
        <w:t xml:space="preserve"> är </w:t>
      </w:r>
      <w:r w:rsidR="00DB4D77">
        <w:t>ett bra alternativ för personer som av olika anledningar inte kan läsa texten på webbplatsen. Den är också bra för personer som vill lyssna</w:t>
      </w:r>
      <w:r w:rsidR="00E7698E">
        <w:t xml:space="preserve"> på texten samtidigt som de läser den eller följer med i den</w:t>
      </w:r>
      <w:r w:rsidR="00DB4D77">
        <w:t xml:space="preserve"> </w:t>
      </w:r>
    </w:p>
    <w:p w:rsidR="00961895" w:rsidRDefault="00961895" w:rsidP="00961895"/>
    <w:p w:rsidR="00275D69" w:rsidRPr="00F5034C" w:rsidRDefault="00275D69" w:rsidP="00F5034C">
      <w:r>
        <w:rPr>
          <w:noProof/>
        </w:rPr>
        <w:drawing>
          <wp:inline distT="0" distB="0" distL="0" distR="0">
            <wp:extent cx="5760720" cy="1446388"/>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760720" cy="1446388"/>
                    </a:xfrm>
                    <a:prstGeom prst="rect">
                      <a:avLst/>
                    </a:prstGeom>
                    <a:noFill/>
                    <a:ln w="9525">
                      <a:noFill/>
                      <a:miter lim="800000"/>
                      <a:headEnd/>
                      <a:tailEnd/>
                    </a:ln>
                  </pic:spPr>
                </pic:pic>
              </a:graphicData>
            </a:graphic>
          </wp:inline>
        </w:drawing>
      </w:r>
    </w:p>
    <w:p w:rsidR="00CF78E1" w:rsidRDefault="00CF78E1" w:rsidP="00CF78E1"/>
    <w:p w:rsidR="002B7581" w:rsidRDefault="002B7581" w:rsidP="00CF78E1"/>
    <w:p w:rsidR="00B64AF8" w:rsidRPr="001B2834" w:rsidRDefault="001B2834" w:rsidP="00B647AA">
      <w:pPr>
        <w:rPr>
          <w:b/>
        </w:rPr>
      </w:pPr>
      <w:r w:rsidRPr="001B2834">
        <w:rPr>
          <w:b/>
        </w:rPr>
        <w:t>Nuläge</w:t>
      </w:r>
    </w:p>
    <w:p w:rsidR="00015C36" w:rsidRDefault="00015C36" w:rsidP="00B647AA"/>
    <w:p w:rsidR="00EF1C4F" w:rsidRDefault="00EF1C4F" w:rsidP="00B647AA">
      <w:pPr>
        <w:sectPr w:rsidR="00EF1C4F" w:rsidSect="004916F8">
          <w:headerReference w:type="first" r:id="rId9"/>
          <w:type w:val="continuous"/>
          <w:pgSz w:w="11906" w:h="16838"/>
          <w:pgMar w:top="1417" w:right="1417" w:bottom="1417" w:left="1417" w:header="708" w:footer="708" w:gutter="0"/>
          <w:cols w:space="708"/>
          <w:titlePg/>
          <w:docGrid w:linePitch="360"/>
        </w:sectPr>
      </w:pPr>
    </w:p>
    <w:p w:rsidR="00DB6451" w:rsidRDefault="00DB6451" w:rsidP="00B647AA"/>
    <w:p w:rsidR="00DB6451" w:rsidRDefault="005115EE" w:rsidP="00B647AA">
      <w:r>
        <w:rPr>
          <w:noProof/>
        </w:rPr>
        <w:drawing>
          <wp:inline distT="0" distB="0" distL="0" distR="0">
            <wp:extent cx="893445" cy="425450"/>
            <wp:effectExtent l="19050" t="0" r="190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893445" cy="425450"/>
                    </a:xfrm>
                    <a:prstGeom prst="rect">
                      <a:avLst/>
                    </a:prstGeom>
                    <a:noFill/>
                    <a:ln w="9525">
                      <a:noFill/>
                      <a:miter lim="800000"/>
                      <a:headEnd/>
                      <a:tailEnd/>
                    </a:ln>
                  </pic:spPr>
                </pic:pic>
              </a:graphicData>
            </a:graphic>
          </wp:inline>
        </w:drawing>
      </w:r>
    </w:p>
    <w:p w:rsidR="00DB6451" w:rsidRDefault="00DB6451" w:rsidP="00B647AA"/>
    <w:p w:rsidR="00720AA9" w:rsidRDefault="00720AA9" w:rsidP="00B647AA"/>
    <w:p w:rsidR="00EF1C4F" w:rsidRDefault="00EF1C4F" w:rsidP="00B647AA"/>
    <w:p w:rsidR="00DB6451" w:rsidRDefault="00782663" w:rsidP="00B647AA">
      <w:r>
        <w:t xml:space="preserve">På </w:t>
      </w:r>
      <w:proofErr w:type="spellStart"/>
      <w:r>
        <w:t>gotebor</w:t>
      </w:r>
      <w:r w:rsidR="009E00BC">
        <w:t>g.se</w:t>
      </w:r>
      <w:proofErr w:type="spellEnd"/>
      <w:r w:rsidR="009E00BC">
        <w:t xml:space="preserve"> ligger </w:t>
      </w:r>
      <w:proofErr w:type="spellStart"/>
      <w:r w:rsidR="009E00BC">
        <w:t>l</w:t>
      </w:r>
      <w:r>
        <w:t>yssnafunktionen</w:t>
      </w:r>
      <w:proofErr w:type="spellEnd"/>
      <w:r>
        <w:t xml:space="preserve"> med på alla innehållssidor med mycket text. Inte på till exempel startsidan eller gallerisidor. </w:t>
      </w:r>
    </w:p>
    <w:p w:rsidR="00015C36" w:rsidRDefault="00015C36" w:rsidP="00B647AA">
      <w:pPr>
        <w:sectPr w:rsidR="00015C36" w:rsidSect="00E33DFC">
          <w:type w:val="continuous"/>
          <w:pgSz w:w="11906" w:h="16838"/>
          <w:pgMar w:top="1417" w:right="1417" w:bottom="1417" w:left="1417" w:header="708" w:footer="708" w:gutter="0"/>
          <w:cols w:num="2" w:space="708"/>
          <w:titlePg/>
          <w:docGrid w:linePitch="360"/>
        </w:sectPr>
      </w:pPr>
    </w:p>
    <w:p w:rsidR="00015C36" w:rsidRDefault="00015C36" w:rsidP="00B647AA">
      <w:pPr>
        <w:sectPr w:rsidR="00015C36" w:rsidSect="004916F8">
          <w:type w:val="continuous"/>
          <w:pgSz w:w="11906" w:h="16838"/>
          <w:pgMar w:top="1417" w:right="1417" w:bottom="1417" w:left="1417" w:header="708" w:footer="708" w:gutter="0"/>
          <w:cols w:space="708"/>
          <w:titlePg/>
          <w:docGrid w:linePitch="360"/>
        </w:sectPr>
      </w:pPr>
    </w:p>
    <w:p w:rsidR="00DB6451" w:rsidRDefault="00DB6451" w:rsidP="00B647AA"/>
    <w:p w:rsidR="00B647AA" w:rsidRDefault="00DB6451" w:rsidP="00B647AA">
      <w:r w:rsidRPr="00DB6451">
        <w:rPr>
          <w:noProof/>
        </w:rPr>
        <w:drawing>
          <wp:inline distT="0" distB="0" distL="0" distR="0">
            <wp:extent cx="744220" cy="329565"/>
            <wp:effectExtent l="19050" t="0" r="0" b="0"/>
            <wp:docPr id="7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44220" cy="329565"/>
                    </a:xfrm>
                    <a:prstGeom prst="rect">
                      <a:avLst/>
                    </a:prstGeom>
                    <a:noFill/>
                    <a:ln w="6350">
                      <a:noFill/>
                      <a:miter lim="800000"/>
                      <a:headEnd/>
                      <a:tailEnd/>
                    </a:ln>
                  </pic:spPr>
                </pic:pic>
              </a:graphicData>
            </a:graphic>
          </wp:inline>
        </w:drawing>
      </w:r>
    </w:p>
    <w:p w:rsidR="00720AA9" w:rsidRDefault="00720AA9" w:rsidP="00B647AA"/>
    <w:p w:rsidR="00DB6451" w:rsidRDefault="00DB6451" w:rsidP="00B647AA"/>
    <w:p w:rsidR="00E33DFC" w:rsidRDefault="00E33DFC" w:rsidP="00B647AA"/>
    <w:p w:rsidR="00720AA9" w:rsidRDefault="00720AA9" w:rsidP="00B647AA"/>
    <w:p w:rsidR="00E33DFC" w:rsidRDefault="00E33DFC" w:rsidP="00B647AA"/>
    <w:p w:rsidR="00720AA9" w:rsidRDefault="00720AA9" w:rsidP="00B647AA"/>
    <w:p w:rsidR="009E00BC" w:rsidRDefault="00C271C3" w:rsidP="00B647AA">
      <w:r>
        <w:t>På särprofilerade sidor ligger</w:t>
      </w:r>
      <w:r w:rsidR="009E00BC">
        <w:t xml:space="preserve"> </w:t>
      </w:r>
      <w:proofErr w:type="spellStart"/>
      <w:r w:rsidR="009E00BC">
        <w:t>lyssna</w:t>
      </w:r>
      <w:r>
        <w:t>-</w:t>
      </w:r>
      <w:r w:rsidR="009E00BC">
        <w:t>f</w:t>
      </w:r>
      <w:r w:rsidR="00720AA9">
        <w:t>unktionen</w:t>
      </w:r>
      <w:proofErr w:type="spellEnd"/>
      <w:r w:rsidR="00720AA9">
        <w:t xml:space="preserve"> högst upp till höger på</w:t>
      </w:r>
      <w:r w:rsidR="009E00BC">
        <w:t xml:space="preserve"> alla artikelsidor. Det kan vara en orsak till att funktionen används i högre grad på dessa webbplatser. </w:t>
      </w:r>
    </w:p>
    <w:p w:rsidR="00E32F6F" w:rsidRDefault="00E32F6F" w:rsidP="00B647AA"/>
    <w:p w:rsidR="00015C36" w:rsidRDefault="00015C36" w:rsidP="00015C36">
      <w:pPr>
        <w:sectPr w:rsidR="00015C36" w:rsidSect="00E33DFC">
          <w:type w:val="continuous"/>
          <w:pgSz w:w="11906" w:h="16838"/>
          <w:pgMar w:top="1417" w:right="1417" w:bottom="1417" w:left="1417" w:header="708" w:footer="708" w:gutter="0"/>
          <w:cols w:num="2" w:space="708"/>
          <w:titlePg/>
          <w:docGrid w:linePitch="360"/>
        </w:sectPr>
      </w:pPr>
    </w:p>
    <w:p w:rsidR="00DB6451" w:rsidRDefault="00015C36" w:rsidP="00DB6451">
      <w:pPr>
        <w:rPr>
          <w:rStyle w:val="Betoning"/>
          <w:i w:val="0"/>
        </w:rPr>
      </w:pPr>
      <w:proofErr w:type="spellStart"/>
      <w:r>
        <w:rPr>
          <w:rStyle w:val="Betoning"/>
          <w:i w:val="0"/>
        </w:rPr>
        <w:lastRenderedPageBreak/>
        <w:t>Lyss</w:t>
      </w:r>
      <w:r w:rsidR="00287304">
        <w:rPr>
          <w:rStyle w:val="Betoning"/>
          <w:i w:val="0"/>
        </w:rPr>
        <w:t>nafunktionen</w:t>
      </w:r>
      <w:proofErr w:type="spellEnd"/>
      <w:r w:rsidR="00287304">
        <w:rPr>
          <w:rStyle w:val="Betoning"/>
          <w:i w:val="0"/>
        </w:rPr>
        <w:t xml:space="preserve"> </w:t>
      </w:r>
      <w:r w:rsidR="00DB6451">
        <w:rPr>
          <w:rStyle w:val="Betoning"/>
          <w:i w:val="0"/>
        </w:rPr>
        <w:t xml:space="preserve">ser ut på olika sätt på olika webbplatser. Här är ett urval av några varianter från statliga myndigheter och kommuner. </w:t>
      </w:r>
    </w:p>
    <w:p w:rsidR="00DB6451" w:rsidRDefault="00DB6451" w:rsidP="00DB6451">
      <w:pPr>
        <w:pStyle w:val="Underrubrik"/>
        <w:rPr>
          <w:b/>
          <w:i w:val="0"/>
          <w:sz w:val="20"/>
          <w:szCs w:val="20"/>
        </w:rPr>
      </w:pPr>
      <w:r>
        <w:rPr>
          <w:b/>
          <w:i w:val="0"/>
          <w:noProof/>
          <w:sz w:val="20"/>
          <w:szCs w:val="20"/>
        </w:rPr>
        <w:drawing>
          <wp:inline distT="0" distB="0" distL="0" distR="0">
            <wp:extent cx="499745" cy="180975"/>
            <wp:effectExtent l="19050" t="0" r="0" b="0"/>
            <wp:docPr id="54" name="Bild 18" descr="H:\Dokument\Hilmas\KOM\Tillgänglighet\Lyssnasymbolen\minilyssna\ume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Dokument\Hilmas\KOM\Tillgänglighet\Lyssnasymbolen\minilyssna\umeå.png"/>
                    <pic:cNvPicPr>
                      <a:picLocks noChangeAspect="1" noChangeArrowheads="1"/>
                    </pic:cNvPicPr>
                  </pic:nvPicPr>
                  <pic:blipFill>
                    <a:blip r:embed="rId12" cstate="print"/>
                    <a:srcRect/>
                    <a:stretch>
                      <a:fillRect/>
                    </a:stretch>
                  </pic:blipFill>
                  <pic:spPr bwMode="auto">
                    <a:xfrm>
                      <a:off x="0" y="0"/>
                      <a:ext cx="499745" cy="180975"/>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765810" cy="775970"/>
            <wp:effectExtent l="19050" t="0" r="0" b="0"/>
            <wp:docPr id="55" name="Bild 17" descr="H:\Dokument\Hilmas\KOM\Tillgänglighet\Lyssnasymbolen\minilyssna\stockho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Dokument\Hilmas\KOM\Tillgänglighet\Lyssnasymbolen\minilyssna\stockholm.png"/>
                    <pic:cNvPicPr>
                      <a:picLocks noChangeAspect="1" noChangeArrowheads="1"/>
                    </pic:cNvPicPr>
                  </pic:nvPicPr>
                  <pic:blipFill>
                    <a:blip r:embed="rId13" cstate="print"/>
                    <a:srcRect/>
                    <a:stretch>
                      <a:fillRect/>
                    </a:stretch>
                  </pic:blipFill>
                  <pic:spPr bwMode="auto">
                    <a:xfrm>
                      <a:off x="0" y="0"/>
                      <a:ext cx="765810" cy="775970"/>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925195" cy="414655"/>
            <wp:effectExtent l="19050" t="0" r="8255" b="0"/>
            <wp:docPr id="56" name="Bild 16" descr="H:\Dokument\Hilmas\KOM\Tillgänglighet\Lyssnasymbolen\minilyssna\skellefte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Dokument\Hilmas\KOM\Tillgänglighet\Lyssnasymbolen\minilyssna\skellefteå.png"/>
                    <pic:cNvPicPr>
                      <a:picLocks noChangeAspect="1" noChangeArrowheads="1"/>
                    </pic:cNvPicPr>
                  </pic:nvPicPr>
                  <pic:blipFill>
                    <a:blip r:embed="rId14" cstate="print"/>
                    <a:srcRect/>
                    <a:stretch>
                      <a:fillRect/>
                    </a:stretch>
                  </pic:blipFill>
                  <pic:spPr bwMode="auto">
                    <a:xfrm>
                      <a:off x="0" y="0"/>
                      <a:ext cx="925195" cy="414655"/>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542290" cy="457200"/>
            <wp:effectExtent l="19050" t="0" r="0" b="0"/>
            <wp:docPr id="57" name="Bild 15" descr="H:\Dokument\Hilmas\KOM\Tillgänglighet\Lyssnasymbolen\minilyssna\skatteve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Dokument\Hilmas\KOM\Tillgänglighet\Lyssnasymbolen\minilyssna\skatteverket.png"/>
                    <pic:cNvPicPr>
                      <a:picLocks noChangeAspect="1" noChangeArrowheads="1"/>
                    </pic:cNvPicPr>
                  </pic:nvPicPr>
                  <pic:blipFill>
                    <a:blip r:embed="rId15" cstate="print"/>
                    <a:srcRect/>
                    <a:stretch>
                      <a:fillRect/>
                    </a:stretch>
                  </pic:blipFill>
                  <pic:spPr bwMode="auto">
                    <a:xfrm>
                      <a:off x="0" y="0"/>
                      <a:ext cx="542290" cy="457200"/>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276225" cy="308610"/>
            <wp:effectExtent l="19050" t="0" r="9525" b="0"/>
            <wp:docPr id="58" name="Bild 14" descr="H:\Dokument\Hilmas\KOM\Tillgänglighet\Lyssnasymbolen\minilyssna\lule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Dokument\Hilmas\KOM\Tillgänglighet\Lyssnasymbolen\minilyssna\luleå.png"/>
                    <pic:cNvPicPr>
                      <a:picLocks noChangeAspect="1" noChangeArrowheads="1"/>
                    </pic:cNvPicPr>
                  </pic:nvPicPr>
                  <pic:blipFill>
                    <a:blip r:embed="rId16" cstate="print"/>
                    <a:srcRect/>
                    <a:stretch>
                      <a:fillRect/>
                    </a:stretch>
                  </pic:blipFill>
                  <pic:spPr bwMode="auto">
                    <a:xfrm>
                      <a:off x="0" y="0"/>
                      <a:ext cx="276225" cy="308610"/>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414655" cy="170180"/>
            <wp:effectExtent l="19050" t="0" r="4445" b="0"/>
            <wp:docPr id="59" name="Bild 13" descr="H:\Dokument\Hilmas\KOM\Tillgänglighet\Lyssnasymbolen\minilyssna\lo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okument\Hilmas\KOM\Tillgänglighet\Lyssnasymbolen\minilyssna\lomma.png"/>
                    <pic:cNvPicPr>
                      <a:picLocks noChangeAspect="1" noChangeArrowheads="1"/>
                    </pic:cNvPicPr>
                  </pic:nvPicPr>
                  <pic:blipFill>
                    <a:blip r:embed="rId17" cstate="print"/>
                    <a:srcRect/>
                    <a:stretch>
                      <a:fillRect/>
                    </a:stretch>
                  </pic:blipFill>
                  <pic:spPr bwMode="auto">
                    <a:xfrm>
                      <a:off x="0" y="0"/>
                      <a:ext cx="414655" cy="170180"/>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765810" cy="255270"/>
            <wp:effectExtent l="19050" t="0" r="0" b="0"/>
            <wp:docPr id="60" name="Bild 12" descr="H:\Dokument\Hilmas\KOM\Tillgänglighet\Lyssnasymbolen\minilyssna\linkö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Dokument\Hilmas\KOM\Tillgänglighet\Lyssnasymbolen\minilyssna\linköping.png"/>
                    <pic:cNvPicPr>
                      <a:picLocks noChangeAspect="1" noChangeArrowheads="1"/>
                    </pic:cNvPicPr>
                  </pic:nvPicPr>
                  <pic:blipFill>
                    <a:blip r:embed="rId18" cstate="print"/>
                    <a:srcRect/>
                    <a:stretch>
                      <a:fillRect/>
                    </a:stretch>
                  </pic:blipFill>
                  <pic:spPr bwMode="auto">
                    <a:xfrm>
                      <a:off x="0" y="0"/>
                      <a:ext cx="765810" cy="255270"/>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850900" cy="318770"/>
            <wp:effectExtent l="19050" t="0" r="6350" b="0"/>
            <wp:docPr id="61" name="Bild 11" descr="H:\Dokument\Hilmas\KOM\Tillgänglighet\Lyssnasymbolen\minilyssna\lidkö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Dokument\Hilmas\KOM\Tillgänglighet\Lyssnasymbolen\minilyssna\lidköping.png"/>
                    <pic:cNvPicPr>
                      <a:picLocks noChangeAspect="1" noChangeArrowheads="1"/>
                    </pic:cNvPicPr>
                  </pic:nvPicPr>
                  <pic:blipFill>
                    <a:blip r:embed="rId19" cstate="print"/>
                    <a:srcRect/>
                    <a:stretch>
                      <a:fillRect/>
                    </a:stretch>
                  </pic:blipFill>
                  <pic:spPr bwMode="auto">
                    <a:xfrm>
                      <a:off x="0" y="0"/>
                      <a:ext cx="850900" cy="318770"/>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967740" cy="191135"/>
            <wp:effectExtent l="19050" t="0" r="3810" b="0"/>
            <wp:docPr id="62" name="Bild 10" descr="H:\Dokument\Hilmas\KOM\Tillgänglighet\Lyssnasymbolen\minilyssna\lesse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Dokument\Hilmas\KOM\Tillgänglighet\Lyssnasymbolen\minilyssna\lessebo.png"/>
                    <pic:cNvPicPr>
                      <a:picLocks noChangeAspect="1" noChangeArrowheads="1"/>
                    </pic:cNvPicPr>
                  </pic:nvPicPr>
                  <pic:blipFill>
                    <a:blip r:embed="rId20" cstate="print"/>
                    <a:srcRect/>
                    <a:stretch>
                      <a:fillRect/>
                    </a:stretch>
                  </pic:blipFill>
                  <pic:spPr bwMode="auto">
                    <a:xfrm>
                      <a:off x="0" y="0"/>
                      <a:ext cx="967740" cy="191135"/>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595630" cy="191135"/>
            <wp:effectExtent l="19050" t="0" r="0" b="0"/>
            <wp:docPr id="63" name="Bild 9" descr="H:\Dokument\Hilmas\KOM\Tillgänglighet\Lyssnasymbolen\minilyssna\landskr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Dokument\Hilmas\KOM\Tillgänglighet\Lyssnasymbolen\minilyssna\landskrona.png"/>
                    <pic:cNvPicPr>
                      <a:picLocks noChangeAspect="1" noChangeArrowheads="1"/>
                    </pic:cNvPicPr>
                  </pic:nvPicPr>
                  <pic:blipFill>
                    <a:blip r:embed="rId21" cstate="print"/>
                    <a:srcRect/>
                    <a:stretch>
                      <a:fillRect/>
                    </a:stretch>
                  </pic:blipFill>
                  <pic:spPr bwMode="auto">
                    <a:xfrm>
                      <a:off x="0" y="0"/>
                      <a:ext cx="595630" cy="191135"/>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861060" cy="393700"/>
            <wp:effectExtent l="19050" t="0" r="0" b="0"/>
            <wp:docPr id="64" name="Bild 8" descr="H:\Dokument\Hilmas\KOM\Tillgänglighet\Lyssnasymbolen\minilyssna\kungsba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Dokument\Hilmas\KOM\Tillgänglighet\Lyssnasymbolen\minilyssna\kungsbacka.png"/>
                    <pic:cNvPicPr>
                      <a:picLocks noChangeAspect="1" noChangeArrowheads="1"/>
                    </pic:cNvPicPr>
                  </pic:nvPicPr>
                  <pic:blipFill>
                    <a:blip r:embed="rId22" cstate="print"/>
                    <a:srcRect/>
                    <a:stretch>
                      <a:fillRect/>
                    </a:stretch>
                  </pic:blipFill>
                  <pic:spPr bwMode="auto">
                    <a:xfrm>
                      <a:off x="0" y="0"/>
                      <a:ext cx="861060" cy="393700"/>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861060" cy="318770"/>
            <wp:effectExtent l="19050" t="0" r="0" b="0"/>
            <wp:docPr id="65" name="Bild 7" descr="H:\Dokument\Hilmas\KOM\Tillgänglighet\Lyssnasymbolen\minilyssna\konsumentve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okument\Hilmas\KOM\Tillgänglighet\Lyssnasymbolen\minilyssna\konsumentverket.png"/>
                    <pic:cNvPicPr>
                      <a:picLocks noChangeAspect="1" noChangeArrowheads="1"/>
                    </pic:cNvPicPr>
                  </pic:nvPicPr>
                  <pic:blipFill>
                    <a:blip r:embed="rId23" cstate="print"/>
                    <a:srcRect/>
                    <a:stretch>
                      <a:fillRect/>
                    </a:stretch>
                  </pic:blipFill>
                  <pic:spPr bwMode="auto">
                    <a:xfrm>
                      <a:off x="0" y="0"/>
                      <a:ext cx="861060" cy="318770"/>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1148080" cy="329565"/>
            <wp:effectExtent l="19050" t="0" r="0" b="0"/>
            <wp:docPr id="66" name="Bild 6" descr="H:\Dokument\Hilmas\KOM\Tillgänglighet\Lyssnasymbolen\minilyssna\kal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kument\Hilmas\KOM\Tillgänglighet\Lyssnasymbolen\minilyssna\kalmar.png"/>
                    <pic:cNvPicPr>
                      <a:picLocks noChangeAspect="1" noChangeArrowheads="1"/>
                    </pic:cNvPicPr>
                  </pic:nvPicPr>
                  <pic:blipFill>
                    <a:blip r:embed="rId24" cstate="print"/>
                    <a:srcRect/>
                    <a:stretch>
                      <a:fillRect/>
                    </a:stretch>
                  </pic:blipFill>
                  <pic:spPr bwMode="auto">
                    <a:xfrm>
                      <a:off x="0" y="0"/>
                      <a:ext cx="1148080" cy="329565"/>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499745" cy="244475"/>
            <wp:effectExtent l="19050" t="0" r="0" b="0"/>
            <wp:docPr id="67" name="Bild 5" descr="H:\Dokument\Hilmas\KOM\Tillgänglighet\Lyssnasymbolen\minilyssna\jordbruksve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okument\Hilmas\KOM\Tillgänglighet\Lyssnasymbolen\minilyssna\jordbruksverket.png"/>
                    <pic:cNvPicPr>
                      <a:picLocks noChangeAspect="1" noChangeArrowheads="1"/>
                    </pic:cNvPicPr>
                  </pic:nvPicPr>
                  <pic:blipFill>
                    <a:blip r:embed="rId25" cstate="print"/>
                    <a:srcRect/>
                    <a:stretch>
                      <a:fillRect/>
                    </a:stretch>
                  </pic:blipFill>
                  <pic:spPr bwMode="auto">
                    <a:xfrm>
                      <a:off x="0" y="0"/>
                      <a:ext cx="499745" cy="244475"/>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542290" cy="212725"/>
            <wp:effectExtent l="19050" t="0" r="0" b="0"/>
            <wp:docPr id="68" name="Bild 4" descr="H:\Dokument\Hilmas\KOM\Tillgänglighet\Lyssnasymbolen\minilyssna\havochva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kument\Hilmas\KOM\Tillgänglighet\Lyssnasymbolen\minilyssna\havochvatten.png"/>
                    <pic:cNvPicPr>
                      <a:picLocks noChangeAspect="1" noChangeArrowheads="1"/>
                    </pic:cNvPicPr>
                  </pic:nvPicPr>
                  <pic:blipFill>
                    <a:blip r:embed="rId26" cstate="print"/>
                    <a:srcRect/>
                    <a:stretch>
                      <a:fillRect/>
                    </a:stretch>
                  </pic:blipFill>
                  <pic:spPr bwMode="auto">
                    <a:xfrm>
                      <a:off x="0" y="0"/>
                      <a:ext cx="542290" cy="212725"/>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914400" cy="414655"/>
            <wp:effectExtent l="19050" t="0" r="0" b="0"/>
            <wp:docPr id="69" name="Bild 2" descr="H:\Dokument\Hilmas\KOM\Tillgänglighet\Lyssnasymbolen\minilyssna\fal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kument\Hilmas\KOM\Tillgänglighet\Lyssnasymbolen\minilyssna\falun.png"/>
                    <pic:cNvPicPr>
                      <a:picLocks noChangeAspect="1" noChangeArrowheads="1"/>
                    </pic:cNvPicPr>
                  </pic:nvPicPr>
                  <pic:blipFill>
                    <a:blip r:embed="rId27" cstate="print"/>
                    <a:srcRect/>
                    <a:stretch>
                      <a:fillRect/>
                    </a:stretch>
                  </pic:blipFill>
                  <pic:spPr bwMode="auto">
                    <a:xfrm>
                      <a:off x="0" y="0"/>
                      <a:ext cx="914400" cy="414655"/>
                    </a:xfrm>
                    <a:prstGeom prst="rect">
                      <a:avLst/>
                    </a:prstGeom>
                    <a:noFill/>
                    <a:ln w="9525">
                      <a:noFill/>
                      <a:miter lim="800000"/>
                      <a:headEnd/>
                      <a:tailEnd/>
                    </a:ln>
                  </pic:spPr>
                </pic:pic>
              </a:graphicData>
            </a:graphic>
          </wp:inline>
        </w:drawing>
      </w:r>
      <w:r>
        <w:rPr>
          <w:b/>
          <w:i w:val="0"/>
          <w:noProof/>
          <w:sz w:val="20"/>
          <w:szCs w:val="20"/>
        </w:rPr>
        <w:drawing>
          <wp:inline distT="0" distB="0" distL="0" distR="0">
            <wp:extent cx="616585" cy="201930"/>
            <wp:effectExtent l="19050" t="0" r="0" b="0"/>
            <wp:docPr id="70" name="Bild 1" descr="H:\Dokument\Hilmas\KOM\Tillgänglighet\Lyssnasymbolen\minilyssna\bove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kument\Hilmas\KOM\Tillgänglighet\Lyssnasymbolen\minilyssna\boverket.png"/>
                    <pic:cNvPicPr>
                      <a:picLocks noChangeAspect="1" noChangeArrowheads="1"/>
                    </pic:cNvPicPr>
                  </pic:nvPicPr>
                  <pic:blipFill>
                    <a:blip r:embed="rId28" cstate="print"/>
                    <a:srcRect/>
                    <a:stretch>
                      <a:fillRect/>
                    </a:stretch>
                  </pic:blipFill>
                  <pic:spPr bwMode="auto">
                    <a:xfrm>
                      <a:off x="0" y="0"/>
                      <a:ext cx="616585" cy="201930"/>
                    </a:xfrm>
                    <a:prstGeom prst="rect">
                      <a:avLst/>
                    </a:prstGeom>
                    <a:noFill/>
                    <a:ln w="9525">
                      <a:noFill/>
                      <a:miter lim="800000"/>
                      <a:headEnd/>
                      <a:tailEnd/>
                    </a:ln>
                  </pic:spPr>
                </pic:pic>
              </a:graphicData>
            </a:graphic>
          </wp:inline>
        </w:drawing>
      </w:r>
      <w:r w:rsidR="00EC06ED" w:rsidRPr="00EC06ED">
        <w:rPr>
          <w:b/>
          <w:iCs w:val="0"/>
          <w:sz w:val="20"/>
          <w:szCs w:val="20"/>
        </w:rPr>
        <w:t xml:space="preserve"> </w:t>
      </w:r>
      <w:r w:rsidR="00EC06ED">
        <w:rPr>
          <w:b/>
          <w:iCs w:val="0"/>
          <w:noProof/>
          <w:sz w:val="20"/>
          <w:szCs w:val="20"/>
        </w:rPr>
        <w:drawing>
          <wp:inline distT="0" distB="0" distL="0" distR="0">
            <wp:extent cx="704850" cy="219075"/>
            <wp:effectExtent l="19050" t="0" r="0" b="0"/>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704850" cy="219075"/>
                    </a:xfrm>
                    <a:prstGeom prst="rect">
                      <a:avLst/>
                    </a:prstGeom>
                    <a:noFill/>
                    <a:ln w="9525">
                      <a:noFill/>
                      <a:miter lim="800000"/>
                      <a:headEnd/>
                      <a:tailEnd/>
                    </a:ln>
                  </pic:spPr>
                </pic:pic>
              </a:graphicData>
            </a:graphic>
          </wp:inline>
        </w:drawing>
      </w:r>
    </w:p>
    <w:p w:rsidR="00DB6451" w:rsidRDefault="00DB6451" w:rsidP="00DB6451"/>
    <w:p w:rsidR="00782663" w:rsidRDefault="001B2834" w:rsidP="00782663">
      <w:pPr>
        <w:rPr>
          <w:b/>
        </w:rPr>
      </w:pPr>
      <w:r>
        <w:rPr>
          <w:b/>
        </w:rPr>
        <w:t>Önskat läge</w:t>
      </w:r>
    </w:p>
    <w:p w:rsidR="00A54301" w:rsidRDefault="002B7581" w:rsidP="001B2834">
      <w:proofErr w:type="spellStart"/>
      <w:r>
        <w:t>Lyssnafunktionen</w:t>
      </w:r>
      <w:proofErr w:type="spellEnd"/>
      <w:r w:rsidR="001B2834">
        <w:t xml:space="preserve"> ska va</w:t>
      </w:r>
      <w:r>
        <w:t xml:space="preserve">ra enkel att hitta och använda. </w:t>
      </w:r>
      <w:r w:rsidR="001B2834">
        <w:t>Det s</w:t>
      </w:r>
      <w:r>
        <w:t xml:space="preserve">ka gå att lyssna på innehållet på samtliga sidor. </w:t>
      </w:r>
      <w:r w:rsidR="00D4498D">
        <w:t xml:space="preserve">Webbplatsen ska ge samma service till medborgarna oavsett om man läser eller lyssnar på innehållet. </w:t>
      </w:r>
    </w:p>
    <w:p w:rsidR="009F5E34" w:rsidRDefault="009F5E34" w:rsidP="00652EA8">
      <w:pPr>
        <w:pStyle w:val="Underrubrik"/>
        <w:rPr>
          <w:b/>
          <w:i w:val="0"/>
        </w:rPr>
      </w:pPr>
    </w:p>
    <w:p w:rsidR="009F5E34" w:rsidRDefault="0088754F" w:rsidP="00652EA8">
      <w:pPr>
        <w:pStyle w:val="Underrubrik"/>
        <w:rPr>
          <w:b/>
          <w:i w:val="0"/>
        </w:rPr>
      </w:pPr>
      <w:r>
        <w:rPr>
          <w:b/>
          <w:i w:val="0"/>
        </w:rPr>
        <w:t>Tillitstillgänglighet</w:t>
      </w:r>
    </w:p>
    <w:p w:rsidR="0088754F" w:rsidRPr="0088754F" w:rsidRDefault="0088754F" w:rsidP="0088754F">
      <w:r>
        <w:t>Vi ska alltid ha med tillitsaspekten i vår digitala kommunikation. T ex ska avsändaren alltid vara tydlig.</w:t>
      </w:r>
    </w:p>
    <w:p w:rsidR="0088754F" w:rsidRDefault="0088754F" w:rsidP="00652EA8">
      <w:pPr>
        <w:pStyle w:val="Underrubrik"/>
        <w:rPr>
          <w:b/>
          <w:i w:val="0"/>
        </w:rPr>
      </w:pPr>
    </w:p>
    <w:p w:rsidR="00CF78E1" w:rsidRDefault="00CF78E1" w:rsidP="00652EA8">
      <w:pPr>
        <w:pStyle w:val="Underrubrik"/>
        <w:rPr>
          <w:b/>
          <w:i w:val="0"/>
        </w:rPr>
      </w:pPr>
      <w:r w:rsidRPr="00652EA8">
        <w:rPr>
          <w:b/>
          <w:i w:val="0"/>
        </w:rPr>
        <w:t>Information på andra språk</w:t>
      </w:r>
    </w:p>
    <w:p w:rsidR="005D4CAB" w:rsidRDefault="005D4CAB" w:rsidP="004C050E"/>
    <w:p w:rsidR="003F59AE" w:rsidRPr="00733EF8" w:rsidRDefault="003F59AE" w:rsidP="002B5A42">
      <w:pPr>
        <w:rPr>
          <w:b/>
        </w:rPr>
      </w:pPr>
      <w:r w:rsidRPr="00733EF8">
        <w:rPr>
          <w:b/>
        </w:rPr>
        <w:t>Nuläge</w:t>
      </w:r>
    </w:p>
    <w:p w:rsidR="00B85F95" w:rsidRDefault="005D4CAB" w:rsidP="00676844">
      <w:r>
        <w:t xml:space="preserve">På </w:t>
      </w:r>
      <w:proofErr w:type="spellStart"/>
      <w:r>
        <w:t>goteborg.se</w:t>
      </w:r>
      <w:proofErr w:type="spellEnd"/>
      <w:r>
        <w:t xml:space="preserve"> skriver vi på svenska men när det finns behov så översätter vi.</w:t>
      </w:r>
    </w:p>
    <w:p w:rsidR="005D4CAB" w:rsidRDefault="00B85F95" w:rsidP="005D4CAB">
      <w:r>
        <w:t>Delar av inf</w:t>
      </w:r>
      <w:r w:rsidR="005D4CAB">
        <w:t>ormationen på webbplatsen</w:t>
      </w:r>
      <w:r>
        <w:t xml:space="preserve"> finns på </w:t>
      </w:r>
      <w:r w:rsidR="005D4CAB">
        <w:t xml:space="preserve">sex andra språk: arabiska, </w:t>
      </w:r>
      <w:proofErr w:type="spellStart"/>
      <w:r w:rsidR="005D4CAB">
        <w:t>bosniska-kroatiska-serbiska</w:t>
      </w:r>
      <w:proofErr w:type="spellEnd"/>
      <w:r w:rsidR="005D4CAB">
        <w:t xml:space="preserve">, persiska, somaliska, </w:t>
      </w:r>
      <w:proofErr w:type="spellStart"/>
      <w:r w:rsidR="005D4CAB">
        <w:t>sorani</w:t>
      </w:r>
      <w:proofErr w:type="spellEnd"/>
      <w:r w:rsidR="005D4CAB">
        <w:t xml:space="preserve"> och engelska. Dessa språk är valda på grund av att de är de mest efterfrågade när medborgare behöver tolk. Sedan den 1 februari 2011 är Göteborgs Stad ett finskt förvaltningsområde och har därför skyldighet att ge finskspråkiga invånare information på hemspråket. Det finns därför en särskild ingång på </w:t>
      </w:r>
      <w:proofErr w:type="spellStart"/>
      <w:r w:rsidR="005D4CAB">
        <w:t>goteborg.se</w:t>
      </w:r>
      <w:proofErr w:type="spellEnd"/>
      <w:r w:rsidR="005D4CAB">
        <w:t xml:space="preserve">, </w:t>
      </w:r>
      <w:proofErr w:type="spellStart"/>
      <w:r w:rsidR="005D4CAB">
        <w:t>Suomeksi</w:t>
      </w:r>
      <w:proofErr w:type="spellEnd"/>
      <w:r w:rsidR="005D4CAB">
        <w:t xml:space="preserve">, med kommunal information på finska. </w:t>
      </w:r>
    </w:p>
    <w:p w:rsidR="005D4CAB" w:rsidRDefault="005D4CAB" w:rsidP="005D4CAB"/>
    <w:p w:rsidR="005D4CAB" w:rsidRDefault="005D4CAB" w:rsidP="005D4CAB"/>
    <w:p w:rsidR="003F59AE" w:rsidRPr="00733EF8" w:rsidRDefault="003F59AE" w:rsidP="002B5A42">
      <w:pPr>
        <w:rPr>
          <w:b/>
        </w:rPr>
      </w:pPr>
      <w:r w:rsidRPr="00733EF8">
        <w:rPr>
          <w:b/>
        </w:rPr>
        <w:t>Önskat läge</w:t>
      </w:r>
    </w:p>
    <w:p w:rsidR="00592967" w:rsidRDefault="00B03FD1" w:rsidP="004C050E">
      <w:r>
        <w:t xml:space="preserve">All text på </w:t>
      </w:r>
      <w:proofErr w:type="spellStart"/>
      <w:r>
        <w:t>goteborg.se</w:t>
      </w:r>
      <w:proofErr w:type="spellEnd"/>
      <w:r>
        <w:t xml:space="preserve"> ska vara klarspråkad oavsett vilket språk som används! Därför ska även översättningen vara klarspråkad - enkel, vårdad och begriplig.</w:t>
      </w:r>
    </w:p>
    <w:p w:rsidR="00592967" w:rsidRDefault="00592967" w:rsidP="004C050E"/>
    <w:p w:rsidR="00B85F95" w:rsidRDefault="00B85F95" w:rsidP="00B85F95">
      <w:pPr>
        <w:pStyle w:val="Underrubrik"/>
        <w:rPr>
          <w:b/>
          <w:i w:val="0"/>
          <w:sz w:val="20"/>
          <w:szCs w:val="20"/>
        </w:rPr>
      </w:pPr>
      <w:r>
        <w:rPr>
          <w:b/>
          <w:i w:val="0"/>
          <w:sz w:val="20"/>
          <w:szCs w:val="20"/>
        </w:rPr>
        <w:t xml:space="preserve">Mer information/ instruktion finns här: </w:t>
      </w:r>
    </w:p>
    <w:p w:rsidR="00592967" w:rsidRDefault="00B85F95" w:rsidP="00592967">
      <w:r>
        <w:t xml:space="preserve">Webbhandboken/ </w:t>
      </w:r>
      <w:r w:rsidR="00592967">
        <w:t xml:space="preserve">Kanalen </w:t>
      </w:r>
      <w:proofErr w:type="spellStart"/>
      <w:r w:rsidR="00592967">
        <w:t>goteborg.se</w:t>
      </w:r>
      <w:proofErr w:type="spellEnd"/>
      <w:r w:rsidR="00592967">
        <w:t xml:space="preserve">/ Andra språk än svenska på </w:t>
      </w:r>
      <w:proofErr w:type="spellStart"/>
      <w:r w:rsidR="00592967">
        <w:t>goteborg.se</w:t>
      </w:r>
      <w:proofErr w:type="spellEnd"/>
    </w:p>
    <w:p w:rsidR="00592967" w:rsidRDefault="00592967" w:rsidP="004C050E"/>
    <w:p w:rsidR="00275D69" w:rsidRDefault="00275D69" w:rsidP="004C050E"/>
    <w:p w:rsidR="000A1393" w:rsidRDefault="000A1393" w:rsidP="004C050E"/>
    <w:p w:rsidR="000A1393" w:rsidRDefault="000A1393" w:rsidP="004C050E"/>
    <w:p w:rsidR="000A1393" w:rsidRDefault="000A1393" w:rsidP="004C050E"/>
    <w:p w:rsidR="000A1393" w:rsidRDefault="000A1393" w:rsidP="004C050E"/>
    <w:p w:rsidR="000A1393" w:rsidRDefault="000A1393" w:rsidP="004C050E"/>
    <w:p w:rsidR="000A1393" w:rsidRDefault="000A1393" w:rsidP="004C050E"/>
    <w:p w:rsidR="000A1393" w:rsidRDefault="000A1393" w:rsidP="004C050E"/>
    <w:p w:rsidR="000A1393" w:rsidRDefault="000A1393" w:rsidP="004C050E"/>
    <w:p w:rsidR="000A1393" w:rsidRDefault="000A1393" w:rsidP="004C050E"/>
    <w:p w:rsidR="000A1393" w:rsidRDefault="000A1393" w:rsidP="004C050E"/>
    <w:p w:rsidR="009F5E34" w:rsidRDefault="009F5E34" w:rsidP="000A1393">
      <w:pPr>
        <w:pStyle w:val="Underrubrik"/>
        <w:rPr>
          <w:rFonts w:ascii="Times New Roman" w:eastAsia="Times New Roman" w:hAnsi="Times New Roman" w:cs="Times New Roman"/>
          <w:i w:val="0"/>
          <w:iCs w:val="0"/>
          <w:color w:val="auto"/>
          <w:spacing w:val="0"/>
        </w:rPr>
      </w:pPr>
    </w:p>
    <w:p w:rsidR="000A1393" w:rsidRDefault="000A1393" w:rsidP="000A1393">
      <w:pPr>
        <w:pStyle w:val="Underrubrik"/>
        <w:rPr>
          <w:b/>
          <w:i w:val="0"/>
        </w:rPr>
      </w:pPr>
      <w:r w:rsidRPr="00652EA8">
        <w:rPr>
          <w:b/>
          <w:i w:val="0"/>
        </w:rPr>
        <w:t>Teckenspråk</w:t>
      </w:r>
    </w:p>
    <w:p w:rsidR="000A1393" w:rsidRDefault="000A1393" w:rsidP="000A1393"/>
    <w:p w:rsidR="000A1393" w:rsidRDefault="000A1393" w:rsidP="000A1393">
      <w:pPr>
        <w:rPr>
          <w:b/>
        </w:rPr>
      </w:pPr>
      <w:r w:rsidRPr="002D7DE7">
        <w:rPr>
          <w:b/>
        </w:rPr>
        <w:t>Nuläge</w:t>
      </w:r>
    </w:p>
    <w:p w:rsidR="000A1393" w:rsidRDefault="000A1393" w:rsidP="000A1393">
      <w:r>
        <w:t xml:space="preserve">Delar av informationen på webbplatsen finns översatta till teckenspråksfilmer. Klicka på teckenspråkssymbolen uppe i mitten av sidan för att komma till sidan där filmerna finns listade. </w:t>
      </w:r>
    </w:p>
    <w:p w:rsidR="000A1393" w:rsidRDefault="000A1393" w:rsidP="000A1393"/>
    <w:p w:rsidR="002D7DE7" w:rsidRDefault="002D7DE7" w:rsidP="004C050E"/>
    <w:p w:rsidR="003F59AE" w:rsidRDefault="003F59AE" w:rsidP="004C050E">
      <w:pPr>
        <w:rPr>
          <w:b/>
        </w:rPr>
      </w:pPr>
      <w:r w:rsidRPr="002D7DE7">
        <w:rPr>
          <w:b/>
        </w:rPr>
        <w:t>Önskat läge</w:t>
      </w:r>
    </w:p>
    <w:p w:rsidR="000A1393" w:rsidRDefault="000A1393" w:rsidP="004C050E">
      <w:r>
        <w:t xml:space="preserve">Genom att översätta fler texter till teckenspråksfilmer och lägga dem lätt åtkomliga i sin kontext tillgängliggör vi webbplatsen för teckenspråkiga döva. Vid texter där det finns en motsvarande film lägger vi ikonen för teckenspråk. </w:t>
      </w:r>
    </w:p>
    <w:p w:rsidR="00822E25" w:rsidRPr="000A1393" w:rsidRDefault="00822E25" w:rsidP="004C050E"/>
    <w:p w:rsidR="003932E0" w:rsidRDefault="00275D69" w:rsidP="00652EA8">
      <w:r>
        <w:rPr>
          <w:noProof/>
        </w:rPr>
        <w:drawing>
          <wp:inline distT="0" distB="0" distL="0" distR="0">
            <wp:extent cx="5760720" cy="1446388"/>
            <wp:effectExtent l="1905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5760720" cy="1446388"/>
                    </a:xfrm>
                    <a:prstGeom prst="rect">
                      <a:avLst/>
                    </a:prstGeom>
                    <a:noFill/>
                    <a:ln w="9525">
                      <a:noFill/>
                      <a:miter lim="800000"/>
                      <a:headEnd/>
                      <a:tailEnd/>
                    </a:ln>
                  </pic:spPr>
                </pic:pic>
              </a:graphicData>
            </a:graphic>
          </wp:inline>
        </w:drawing>
      </w:r>
    </w:p>
    <w:p w:rsidR="00275D69" w:rsidRDefault="00275D69" w:rsidP="00652EA8"/>
    <w:p w:rsidR="00275D69" w:rsidRDefault="00275D69" w:rsidP="00652EA8"/>
    <w:p w:rsidR="000A1393" w:rsidRDefault="000A1393" w:rsidP="00652EA8"/>
    <w:p w:rsidR="00C63319" w:rsidRDefault="00275D69" w:rsidP="00652EA8">
      <w:r>
        <w:rPr>
          <w:noProof/>
        </w:rPr>
        <w:drawing>
          <wp:inline distT="0" distB="0" distL="0" distR="0">
            <wp:extent cx="5760720" cy="1446388"/>
            <wp:effectExtent l="1905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5760720" cy="1446388"/>
                    </a:xfrm>
                    <a:prstGeom prst="rect">
                      <a:avLst/>
                    </a:prstGeom>
                    <a:noFill/>
                    <a:ln w="9525">
                      <a:noFill/>
                      <a:miter lim="800000"/>
                      <a:headEnd/>
                      <a:tailEnd/>
                    </a:ln>
                  </pic:spPr>
                </pic:pic>
              </a:graphicData>
            </a:graphic>
          </wp:inline>
        </w:drawing>
      </w:r>
    </w:p>
    <w:p w:rsidR="00275D69" w:rsidRDefault="00275D69" w:rsidP="00652EA8"/>
    <w:p w:rsidR="00C63319" w:rsidRDefault="00C63319" w:rsidP="00652EA8"/>
    <w:p w:rsidR="00457344" w:rsidRPr="00554F46" w:rsidRDefault="009F5E34" w:rsidP="00554F46">
      <w:pPr>
        <w:pStyle w:val="Underrubrik"/>
        <w:rPr>
          <w:b/>
          <w:i w:val="0"/>
        </w:rPr>
      </w:pPr>
      <w:r>
        <w:rPr>
          <w:b/>
          <w:i w:val="0"/>
        </w:rPr>
        <w:t>Lättl</w:t>
      </w:r>
      <w:r w:rsidR="00457344" w:rsidRPr="00554F46">
        <w:rPr>
          <w:b/>
          <w:i w:val="0"/>
        </w:rPr>
        <w:t xml:space="preserve">äst </w:t>
      </w:r>
    </w:p>
    <w:p w:rsidR="002D7DE7" w:rsidRDefault="009F5E34" w:rsidP="002D7DE7">
      <w:r>
        <w:t>Lättl</w:t>
      </w:r>
      <w:r w:rsidR="002D7DE7">
        <w:t xml:space="preserve">äst är särskilt bra för personer som är teckenspråkiga döva, personer med kognitiv funktionsnedsättning, personer med svenska som andraspråk. </w:t>
      </w:r>
    </w:p>
    <w:p w:rsidR="00457344" w:rsidRDefault="00457344" w:rsidP="00457344"/>
    <w:p w:rsidR="00457344" w:rsidRPr="002D7DE7" w:rsidRDefault="00822E25" w:rsidP="002D7DE7">
      <w:pPr>
        <w:rPr>
          <w:b/>
        </w:rPr>
      </w:pPr>
      <w:r>
        <w:rPr>
          <w:b/>
        </w:rPr>
        <w:t>N</w:t>
      </w:r>
      <w:r w:rsidR="00457344" w:rsidRPr="002D7DE7">
        <w:rPr>
          <w:b/>
        </w:rPr>
        <w:t>uläge</w:t>
      </w:r>
    </w:p>
    <w:p w:rsidR="00457344" w:rsidRDefault="00457344" w:rsidP="00457344">
      <w:r>
        <w:t xml:space="preserve">Just nu har inte </w:t>
      </w:r>
      <w:proofErr w:type="spellStart"/>
      <w:r>
        <w:t>gotebo</w:t>
      </w:r>
      <w:r w:rsidR="009F5E34">
        <w:t>rg.se</w:t>
      </w:r>
      <w:proofErr w:type="spellEnd"/>
      <w:r w:rsidR="009F5E34">
        <w:t xml:space="preserve"> någon information på Lättl</w:t>
      </w:r>
      <w:r>
        <w:t xml:space="preserve">äst. Det är ett medvetet beslut då det istället gjordes en stor satsning på klarspråk. </w:t>
      </w:r>
    </w:p>
    <w:p w:rsidR="00457344" w:rsidRDefault="00457344" w:rsidP="00457344"/>
    <w:p w:rsidR="00462BDF" w:rsidRDefault="00462BDF" w:rsidP="00457344">
      <w:pPr>
        <w:jc w:val="right"/>
      </w:pPr>
    </w:p>
    <w:p w:rsidR="00457344" w:rsidRDefault="00457344" w:rsidP="00457344">
      <w:r>
        <w:t>Vid en genomgång av en rad andra kommuners webbplatser ser vi två olika lösningar. Antingen har man valt att skapa en samlin</w:t>
      </w:r>
      <w:r w:rsidR="009F5E34">
        <w:t>gssida där alla texter på Lättl</w:t>
      </w:r>
      <w:r>
        <w:t>äst finns. Den andra lösningen är att det på varje sida finns en menyrad där det framgår ifall texte</w:t>
      </w:r>
      <w:r w:rsidR="009F5E34">
        <w:t>n finns på Lättl</w:t>
      </w:r>
      <w:r>
        <w:t xml:space="preserve">äst. Någon av kommunerna har både och. </w:t>
      </w:r>
    </w:p>
    <w:p w:rsidR="00457344" w:rsidRDefault="00457344" w:rsidP="00457344"/>
    <w:p w:rsidR="002D7DE7" w:rsidRDefault="002D7DE7" w:rsidP="00457344"/>
    <w:p w:rsidR="001E2546" w:rsidRDefault="001E2546" w:rsidP="00457344"/>
    <w:p w:rsidR="002C5047" w:rsidRPr="002C5047" w:rsidRDefault="002C5047" w:rsidP="00457344">
      <w:pPr>
        <w:rPr>
          <w:b/>
        </w:rPr>
      </w:pPr>
      <w:r w:rsidRPr="002C5047">
        <w:rPr>
          <w:b/>
        </w:rPr>
        <w:t>Önskat läge</w:t>
      </w:r>
    </w:p>
    <w:p w:rsidR="001E2546" w:rsidRDefault="00457344" w:rsidP="001E2546">
      <w:r>
        <w:t xml:space="preserve">Det finns planer att översätta de mest lästa sidorna på </w:t>
      </w:r>
      <w:proofErr w:type="spellStart"/>
      <w:r>
        <w:t>goteborg.se</w:t>
      </w:r>
      <w:proofErr w:type="spellEnd"/>
      <w:r>
        <w:t xml:space="preserve"> till teckenspråk och det vore naturligt att då</w:t>
      </w:r>
      <w:r w:rsidR="009F5E34">
        <w:t xml:space="preserve"> också översätta dem till Lättl</w:t>
      </w:r>
      <w:r>
        <w:t>äst.</w:t>
      </w:r>
      <w:r w:rsidR="00C43983">
        <w:t xml:space="preserve"> </w:t>
      </w:r>
      <w:r w:rsidR="009F5E34">
        <w:t>Lättl</w:t>
      </w:r>
      <w:r w:rsidR="001E2546">
        <w:t>äst skulle då kunna finnas som ett valbart alternativ uppe till höger på varje</w:t>
      </w:r>
      <w:r w:rsidR="009F5E34">
        <w:t xml:space="preserve"> innehållssida som har en Lättläst version.</w:t>
      </w:r>
    </w:p>
    <w:p w:rsidR="001E2546" w:rsidRDefault="001E2546" w:rsidP="001E2546"/>
    <w:p w:rsidR="00457344" w:rsidRDefault="00C43983" w:rsidP="00457344">
      <w:r>
        <w:t>O</w:t>
      </w:r>
      <w:r w:rsidR="009F5E34">
        <w:t>m man beslutar att införa Lättl</w:t>
      </w:r>
      <w:r>
        <w:t>äst måste det avgöras</w:t>
      </w:r>
      <w:r w:rsidR="00457344">
        <w:t xml:space="preserve"> vilken målgrupp vi vänder oss till och vi</w:t>
      </w:r>
      <w:r w:rsidR="009F5E34">
        <w:t>lken nivå det ska vara av Lättl</w:t>
      </w:r>
      <w:r w:rsidR="00457344">
        <w:t xml:space="preserve">äst. Det finns </w:t>
      </w:r>
      <w:r w:rsidR="009F5E34">
        <w:t>flera olika målgrupper av Lättl</w:t>
      </w:r>
      <w:r w:rsidR="00457344">
        <w:t xml:space="preserve">äst som dessutom har olika behov, och krav på texten vad gäller förkunskaper om kommunen, önskemål och förväntningar. </w:t>
      </w:r>
    </w:p>
    <w:p w:rsidR="002D7DE7" w:rsidRDefault="002D7DE7" w:rsidP="00457344"/>
    <w:p w:rsidR="001E2546" w:rsidRDefault="001E2546" w:rsidP="001E2546">
      <w:r>
        <w:t>Det har</w:t>
      </w:r>
      <w:r w:rsidR="009F5E34">
        <w:t xml:space="preserve"> ju länge pågått en diskussion om klarspråk kontra Lättl</w:t>
      </w:r>
      <w:r>
        <w:t xml:space="preserve">äst, där vi än så länge tagit beslutet att det räcker med klarspråk för </w:t>
      </w:r>
      <w:proofErr w:type="spellStart"/>
      <w:r>
        <w:t>goteborg.se</w:t>
      </w:r>
      <w:proofErr w:type="spellEnd"/>
      <w:r>
        <w:t>. Ett argument som stärker det beslutet är att Vägledni</w:t>
      </w:r>
      <w:r w:rsidR="009F5E34">
        <w:t>ng för webbutveckling har Lättl</w:t>
      </w:r>
      <w:r>
        <w:t xml:space="preserve">äst som nummer 42 i sin prioriteringsordning och med prioritetsgrad 3. </w:t>
      </w:r>
    </w:p>
    <w:p w:rsidR="009F5E34" w:rsidRDefault="009F5E34" w:rsidP="001E2546"/>
    <w:p w:rsidR="009F5E34" w:rsidRDefault="009F5E34" w:rsidP="001E2546">
      <w:r>
        <w:t xml:space="preserve">En utredning om Lättläst på </w:t>
      </w:r>
      <w:proofErr w:type="spellStart"/>
      <w:r>
        <w:t>goteborg.se</w:t>
      </w:r>
      <w:proofErr w:type="spellEnd"/>
      <w:r>
        <w:t xml:space="preserve"> ska genomföras.</w:t>
      </w:r>
    </w:p>
    <w:p w:rsidR="004C050E" w:rsidRDefault="004C050E" w:rsidP="004C050E"/>
    <w:p w:rsidR="002D7DE7" w:rsidRDefault="00BB5325" w:rsidP="004C050E">
      <w:r>
        <w:rPr>
          <w:noProof/>
        </w:rPr>
        <w:drawing>
          <wp:inline distT="0" distB="0" distL="0" distR="0">
            <wp:extent cx="5760720" cy="1446388"/>
            <wp:effectExtent l="19050" t="0" r="0"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srcRect/>
                    <a:stretch>
                      <a:fillRect/>
                    </a:stretch>
                  </pic:blipFill>
                  <pic:spPr bwMode="auto">
                    <a:xfrm>
                      <a:off x="0" y="0"/>
                      <a:ext cx="5760720" cy="1446388"/>
                    </a:xfrm>
                    <a:prstGeom prst="rect">
                      <a:avLst/>
                    </a:prstGeom>
                    <a:noFill/>
                    <a:ln w="9525">
                      <a:noFill/>
                      <a:miter lim="800000"/>
                      <a:headEnd/>
                      <a:tailEnd/>
                    </a:ln>
                  </pic:spPr>
                </pic:pic>
              </a:graphicData>
            </a:graphic>
          </wp:inline>
        </w:drawing>
      </w:r>
    </w:p>
    <w:p w:rsidR="00CB427E" w:rsidRDefault="00CB427E" w:rsidP="004C050E"/>
    <w:p w:rsidR="00D66A8B" w:rsidRDefault="00D66A8B" w:rsidP="004C050E"/>
    <w:p w:rsidR="00E630C5" w:rsidRDefault="00E630C5" w:rsidP="00E630C5"/>
    <w:p w:rsidR="002D787D" w:rsidRDefault="002D787D" w:rsidP="00E630C5"/>
    <w:p w:rsidR="002D787D" w:rsidRDefault="002D787D" w:rsidP="00E630C5"/>
    <w:p w:rsidR="002D787D" w:rsidRPr="00E630C5" w:rsidRDefault="002D787D" w:rsidP="00E630C5"/>
    <w:p w:rsidR="004D6984" w:rsidRPr="004E22C8" w:rsidRDefault="00C82D7C" w:rsidP="004E22C8">
      <w:pPr>
        <w:pStyle w:val="Underrubrik"/>
        <w:rPr>
          <w:b/>
          <w:i w:val="0"/>
        </w:rPr>
      </w:pPr>
      <w:r>
        <w:rPr>
          <w:b/>
          <w:i w:val="0"/>
        </w:rPr>
        <w:t>S</w:t>
      </w:r>
      <w:r w:rsidR="005473DF" w:rsidRPr="004E22C8">
        <w:rPr>
          <w:b/>
          <w:i w:val="0"/>
        </w:rPr>
        <w:t xml:space="preserve">ammanfattning </w:t>
      </w:r>
      <w:r w:rsidR="009D1BCB">
        <w:rPr>
          <w:b/>
          <w:i w:val="0"/>
        </w:rPr>
        <w:t>– önskat läge</w:t>
      </w:r>
    </w:p>
    <w:p w:rsidR="009D1BCB" w:rsidRDefault="009D1BCB" w:rsidP="009D1BCB"/>
    <w:p w:rsidR="009D1BCB" w:rsidRDefault="009D1BCB" w:rsidP="009D1BCB">
      <w:r>
        <w:t xml:space="preserve">Medborgarservice är service för alla medborgare. All information och alla tjänster ska vara tillgängliga och begripliga för alla boende, besökare, företagare och konsumenter – med eller utan funktionsnedsättningar. </w:t>
      </w:r>
    </w:p>
    <w:p w:rsidR="009D1BCB" w:rsidRDefault="009D1BCB" w:rsidP="009D1BCB"/>
    <w:p w:rsidR="009D1BCB" w:rsidRDefault="009D1BCB" w:rsidP="009D1BCB">
      <w:r>
        <w:t xml:space="preserve">Det innebär att alla ska ha likvärdiga förutsättningar att hitta information och använda sig av Göteborgs Stads service och tjänster. </w:t>
      </w:r>
    </w:p>
    <w:p w:rsidR="009D1BCB" w:rsidRDefault="009D1BCB" w:rsidP="009D1BCB"/>
    <w:p w:rsidR="009D1BCB" w:rsidRDefault="009D1BCB" w:rsidP="009D1BCB">
      <w:r>
        <w:t xml:space="preserve">Därför vore det bra om: </w:t>
      </w:r>
    </w:p>
    <w:p w:rsidR="009D1BCB" w:rsidRDefault="009D1BCB" w:rsidP="009D1BCB">
      <w:pPr>
        <w:pStyle w:val="Liststycke"/>
        <w:numPr>
          <w:ilvl w:val="0"/>
          <w:numId w:val="17"/>
        </w:numPr>
      </w:pPr>
      <w:proofErr w:type="spellStart"/>
      <w:r>
        <w:t>Lyssnafunktionen</w:t>
      </w:r>
      <w:proofErr w:type="spellEnd"/>
      <w:r>
        <w:t xml:space="preserve"> är enkel att hitta och använda på samtliga sidor på webbplatsen. </w:t>
      </w:r>
    </w:p>
    <w:p w:rsidR="009D1BCB" w:rsidRDefault="009D1BCB" w:rsidP="009D1BCB">
      <w:pPr>
        <w:pStyle w:val="Liststycke"/>
        <w:numPr>
          <w:ilvl w:val="0"/>
          <w:numId w:val="17"/>
        </w:numPr>
      </w:pPr>
      <w:r>
        <w:t xml:space="preserve">All text på </w:t>
      </w:r>
      <w:proofErr w:type="spellStart"/>
      <w:r>
        <w:t>goteborg.se</w:t>
      </w:r>
      <w:proofErr w:type="spellEnd"/>
      <w:r>
        <w:t xml:space="preserve"> är klarspråkad oavsett vilket språk som används! </w:t>
      </w:r>
    </w:p>
    <w:p w:rsidR="002D787D" w:rsidRDefault="002D787D" w:rsidP="002D787D"/>
    <w:p w:rsidR="002D787D" w:rsidRDefault="002D787D" w:rsidP="002D787D"/>
    <w:p w:rsidR="002D787D" w:rsidRDefault="002D787D" w:rsidP="002D787D"/>
    <w:p w:rsidR="002D787D" w:rsidRDefault="002D787D" w:rsidP="002D787D"/>
    <w:p w:rsidR="002D787D" w:rsidRDefault="002D787D" w:rsidP="002D787D"/>
    <w:p w:rsidR="002D787D" w:rsidRDefault="002D787D" w:rsidP="002D787D"/>
    <w:p w:rsidR="002D787D" w:rsidRDefault="002D787D" w:rsidP="002D787D"/>
    <w:p w:rsidR="00DA0C2D" w:rsidRDefault="009D1BCB" w:rsidP="004C050E">
      <w:pPr>
        <w:pStyle w:val="Liststycke"/>
        <w:numPr>
          <w:ilvl w:val="0"/>
          <w:numId w:val="17"/>
        </w:numPr>
      </w:pPr>
      <w:r>
        <w:t>All information på tecken</w:t>
      </w:r>
      <w:r w:rsidR="002D787D">
        <w:t>språk, annat språk (eller Lättl</w:t>
      </w:r>
      <w:r>
        <w:t xml:space="preserve">äst) finns i sin kontext på webbplatsen, så att den ingår i sitt sammanhang, till exempel att sidan </w:t>
      </w:r>
      <w:r>
        <w:rPr>
          <w:i/>
        </w:rPr>
        <w:t>Bygglov</w:t>
      </w:r>
      <w:r>
        <w:t xml:space="preserve"> finns att hitta i sin kategori </w:t>
      </w:r>
      <w:r>
        <w:rPr>
          <w:i/>
        </w:rPr>
        <w:t>Bygga &amp; bo</w:t>
      </w:r>
      <w:r>
        <w:t>.</w:t>
      </w:r>
    </w:p>
    <w:p w:rsidR="00EB72D9" w:rsidRDefault="00EB72D9" w:rsidP="004C050E">
      <w:pPr>
        <w:pStyle w:val="Liststycke"/>
        <w:numPr>
          <w:ilvl w:val="0"/>
          <w:numId w:val="17"/>
        </w:numPr>
      </w:pPr>
    </w:p>
    <w:p w:rsidR="00BB5325" w:rsidRDefault="00BB5325" w:rsidP="004C050E">
      <w:r>
        <w:rPr>
          <w:noProof/>
        </w:rPr>
        <w:drawing>
          <wp:inline distT="0" distB="0" distL="0" distR="0">
            <wp:extent cx="5760720" cy="1446388"/>
            <wp:effectExtent l="19050" t="0" r="0"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cstate="print"/>
                    <a:srcRect/>
                    <a:stretch>
                      <a:fillRect/>
                    </a:stretch>
                  </pic:blipFill>
                  <pic:spPr bwMode="auto">
                    <a:xfrm>
                      <a:off x="0" y="0"/>
                      <a:ext cx="5760720" cy="1446388"/>
                    </a:xfrm>
                    <a:prstGeom prst="rect">
                      <a:avLst/>
                    </a:prstGeom>
                    <a:noFill/>
                    <a:ln w="9525">
                      <a:noFill/>
                      <a:miter lim="800000"/>
                      <a:headEnd/>
                      <a:tailEnd/>
                    </a:ln>
                  </pic:spPr>
                </pic:pic>
              </a:graphicData>
            </a:graphic>
          </wp:inline>
        </w:drawing>
      </w:r>
    </w:p>
    <w:p w:rsidR="00F32227" w:rsidRPr="004C050E" w:rsidRDefault="00F32227" w:rsidP="004C050E"/>
    <w:p w:rsidR="00CC405A" w:rsidRDefault="00CC405A"/>
    <w:p w:rsidR="00EB0BF5" w:rsidRPr="00B72F76" w:rsidRDefault="00EB0BF5" w:rsidP="008853EA">
      <w:pPr>
        <w:pStyle w:val="Rubrik1"/>
        <w:rPr>
          <w:i/>
        </w:rPr>
      </w:pPr>
      <w:bookmarkStart w:id="4" w:name="_Toc431991690"/>
      <w:r w:rsidRPr="00B72F76">
        <w:t>Läs mer om tillgänglighet här – Länkar till myndigheter</w:t>
      </w:r>
      <w:bookmarkEnd w:id="4"/>
    </w:p>
    <w:p w:rsidR="00EB0BF5" w:rsidRDefault="00EB0BF5" w:rsidP="00EB0BF5"/>
    <w:p w:rsidR="006E3898" w:rsidRDefault="006E3898" w:rsidP="00EB0BF5">
      <w:r>
        <w:t>Myndigheten för delaktighet</w:t>
      </w:r>
      <w:r w:rsidR="00DA1891">
        <w:tab/>
      </w:r>
      <w:proofErr w:type="spellStart"/>
      <w:r w:rsidR="00DA1891">
        <w:t>mfd.se</w:t>
      </w:r>
      <w:proofErr w:type="spellEnd"/>
    </w:p>
    <w:p w:rsidR="00DA1891" w:rsidRDefault="00DA1891" w:rsidP="00EB0BF5">
      <w:r>
        <w:t>Myndigheten för tillgängliga medier</w:t>
      </w:r>
      <w:r>
        <w:tab/>
      </w:r>
      <w:proofErr w:type="spellStart"/>
      <w:r>
        <w:t>mtm.se</w:t>
      </w:r>
      <w:proofErr w:type="spellEnd"/>
    </w:p>
    <w:p w:rsidR="00010026" w:rsidRDefault="006E3898">
      <w:r>
        <w:t>Post- och telestyrelsen</w:t>
      </w:r>
      <w:r w:rsidR="001871D1">
        <w:tab/>
      </w:r>
      <w:r w:rsidR="001871D1">
        <w:tab/>
      </w:r>
      <w:proofErr w:type="spellStart"/>
      <w:r w:rsidR="001871D1">
        <w:t>pts.se</w:t>
      </w:r>
      <w:proofErr w:type="spellEnd"/>
    </w:p>
    <w:p w:rsidR="00AE0E18" w:rsidRDefault="00AE0E18">
      <w:r>
        <w:t>Webbriktlinjer.se</w:t>
      </w:r>
    </w:p>
    <w:sectPr w:rsidR="00AE0E18" w:rsidSect="004916F8">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BD8" w:rsidRDefault="00F31BD8" w:rsidP="00962E5C">
      <w:r>
        <w:separator/>
      </w:r>
    </w:p>
  </w:endnote>
  <w:endnote w:type="continuationSeparator" w:id="0">
    <w:p w:rsidR="00F31BD8" w:rsidRDefault="00F31BD8" w:rsidP="00962E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BD8" w:rsidRDefault="00F31BD8" w:rsidP="00962E5C">
      <w:r>
        <w:separator/>
      </w:r>
    </w:p>
  </w:footnote>
  <w:footnote w:type="continuationSeparator" w:id="0">
    <w:p w:rsidR="00F31BD8" w:rsidRDefault="00F31BD8" w:rsidP="00962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79A" w:rsidRDefault="00CD779A">
    <w:pPr>
      <w:pStyle w:val="Sidhuvud"/>
    </w:pPr>
    <w:r w:rsidRPr="00CD779A">
      <w:rPr>
        <w:noProof/>
      </w:rPr>
      <w:drawing>
        <wp:inline distT="0" distB="0" distL="0" distR="0">
          <wp:extent cx="1704301" cy="565662"/>
          <wp:effectExtent l="19050" t="0" r="0" b="0"/>
          <wp:docPr id="1" name="Bildobjekt 0" descr="gbg_li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_li_col.png"/>
                  <pic:cNvPicPr/>
                </pic:nvPicPr>
                <pic:blipFill>
                  <a:blip r:embed="rId1"/>
                  <a:stretch>
                    <a:fillRect/>
                  </a:stretch>
                </pic:blipFill>
                <pic:spPr>
                  <a:xfrm>
                    <a:off x="0" y="0"/>
                    <a:ext cx="1704301" cy="565662"/>
                  </a:xfrm>
                  <a:prstGeom prst="rect">
                    <a:avLst/>
                  </a:prstGeom>
                </pic:spPr>
              </pic:pic>
            </a:graphicData>
          </a:graphic>
        </wp:inline>
      </w:drawing>
    </w:r>
  </w:p>
  <w:p w:rsidR="00CD779A" w:rsidRDefault="00CD779A">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ECBB14"/>
    <w:lvl w:ilvl="0">
      <w:numFmt w:val="bullet"/>
      <w:lvlText w:val="*"/>
      <w:lvlJc w:val="left"/>
    </w:lvl>
  </w:abstractNum>
  <w:abstractNum w:abstractNumId="1">
    <w:nsid w:val="0CC17C2F"/>
    <w:multiLevelType w:val="hybridMultilevel"/>
    <w:tmpl w:val="C052B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B27D55"/>
    <w:multiLevelType w:val="hybridMultilevel"/>
    <w:tmpl w:val="6AA0006C"/>
    <w:lvl w:ilvl="0" w:tplc="B874D87A">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81C1EE4"/>
    <w:multiLevelType w:val="hybridMultilevel"/>
    <w:tmpl w:val="F814CF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DC678EE"/>
    <w:multiLevelType w:val="hybridMultilevel"/>
    <w:tmpl w:val="A6F805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484075A"/>
    <w:multiLevelType w:val="hybridMultilevel"/>
    <w:tmpl w:val="719E4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9293775"/>
    <w:multiLevelType w:val="hybridMultilevel"/>
    <w:tmpl w:val="386008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A3E0A43"/>
    <w:multiLevelType w:val="hybridMultilevel"/>
    <w:tmpl w:val="9A2C1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08E3A2B"/>
    <w:multiLevelType w:val="hybridMultilevel"/>
    <w:tmpl w:val="D5AA8DB2"/>
    <w:lvl w:ilvl="0" w:tplc="1CD431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2B1B6A"/>
    <w:multiLevelType w:val="hybridMultilevel"/>
    <w:tmpl w:val="E1AC21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6690018"/>
    <w:multiLevelType w:val="hybridMultilevel"/>
    <w:tmpl w:val="E89C252A"/>
    <w:lvl w:ilvl="0" w:tplc="67B6379C">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1">
    <w:nsid w:val="4AE271D3"/>
    <w:multiLevelType w:val="hybridMultilevel"/>
    <w:tmpl w:val="16F03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B316ABA"/>
    <w:multiLevelType w:val="hybridMultilevel"/>
    <w:tmpl w:val="3A7C35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0F63D04"/>
    <w:multiLevelType w:val="hybridMultilevel"/>
    <w:tmpl w:val="FCA4A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D751EBC"/>
    <w:multiLevelType w:val="hybridMultilevel"/>
    <w:tmpl w:val="41F83F62"/>
    <w:lvl w:ilvl="0" w:tplc="915846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798101E"/>
    <w:multiLevelType w:val="hybridMultilevel"/>
    <w:tmpl w:val="00EC9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CF536FA"/>
    <w:multiLevelType w:val="hybridMultilevel"/>
    <w:tmpl w:val="B0A2C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6"/>
  </w:num>
  <w:num w:numId="6">
    <w:abstractNumId w:val="7"/>
  </w:num>
  <w:num w:numId="7">
    <w:abstractNumId w:val="0"/>
    <w:lvlOverride w:ilvl="0">
      <w:lvl w:ilvl="0">
        <w:numFmt w:val="bullet"/>
        <w:lvlText w:val=""/>
        <w:legacy w:legacy="1" w:legacySpace="0" w:legacyIndent="0"/>
        <w:lvlJc w:val="left"/>
        <w:rPr>
          <w:rFonts w:ascii="Symbol" w:hAnsi="Symbol" w:hint="default"/>
          <w:sz w:val="22"/>
        </w:rPr>
      </w:lvl>
    </w:lvlOverride>
  </w:num>
  <w:num w:numId="8">
    <w:abstractNumId w:val="16"/>
  </w:num>
  <w:num w:numId="9">
    <w:abstractNumId w:val="12"/>
  </w:num>
  <w:num w:numId="10">
    <w:abstractNumId w:val="14"/>
  </w:num>
  <w:num w:numId="11">
    <w:abstractNumId w:val="15"/>
  </w:num>
  <w:num w:numId="12">
    <w:abstractNumId w:val="11"/>
  </w:num>
  <w:num w:numId="13">
    <w:abstractNumId w:val="13"/>
  </w:num>
  <w:num w:numId="14">
    <w:abstractNumId w:val="5"/>
  </w:num>
  <w:num w:numId="15">
    <w:abstractNumId w:val="1"/>
  </w:num>
  <w:num w:numId="16">
    <w:abstractNumId w:val="4"/>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1304"/>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240746"/>
    <w:rsid w:val="000041FE"/>
    <w:rsid w:val="00010026"/>
    <w:rsid w:val="00015C36"/>
    <w:rsid w:val="000224FC"/>
    <w:rsid w:val="000265FE"/>
    <w:rsid w:val="00030553"/>
    <w:rsid w:val="00032562"/>
    <w:rsid w:val="00035CC9"/>
    <w:rsid w:val="00044C7C"/>
    <w:rsid w:val="00045C9E"/>
    <w:rsid w:val="00046D7E"/>
    <w:rsid w:val="00051DD8"/>
    <w:rsid w:val="0005669E"/>
    <w:rsid w:val="000706DD"/>
    <w:rsid w:val="00076F2B"/>
    <w:rsid w:val="00080E3A"/>
    <w:rsid w:val="000833E3"/>
    <w:rsid w:val="000A1393"/>
    <w:rsid w:val="000A2412"/>
    <w:rsid w:val="000A3387"/>
    <w:rsid w:val="000A5F0E"/>
    <w:rsid w:val="000A6F6B"/>
    <w:rsid w:val="000A74C9"/>
    <w:rsid w:val="000B3E3E"/>
    <w:rsid w:val="000B3F03"/>
    <w:rsid w:val="000B3F54"/>
    <w:rsid w:val="000C5A58"/>
    <w:rsid w:val="000D056D"/>
    <w:rsid w:val="000D0BE9"/>
    <w:rsid w:val="000D321E"/>
    <w:rsid w:val="000D70E6"/>
    <w:rsid w:val="000D747B"/>
    <w:rsid w:val="000E2F95"/>
    <w:rsid w:val="000E3D91"/>
    <w:rsid w:val="000E7FCD"/>
    <w:rsid w:val="000F2E33"/>
    <w:rsid w:val="000F47F6"/>
    <w:rsid w:val="00105470"/>
    <w:rsid w:val="00111D00"/>
    <w:rsid w:val="0012027D"/>
    <w:rsid w:val="001202E0"/>
    <w:rsid w:val="001224C8"/>
    <w:rsid w:val="0012603C"/>
    <w:rsid w:val="00133F8F"/>
    <w:rsid w:val="00142E95"/>
    <w:rsid w:val="001473D4"/>
    <w:rsid w:val="00151CB8"/>
    <w:rsid w:val="00154F03"/>
    <w:rsid w:val="00157ADB"/>
    <w:rsid w:val="001663D9"/>
    <w:rsid w:val="0016664E"/>
    <w:rsid w:val="00175570"/>
    <w:rsid w:val="00180FA5"/>
    <w:rsid w:val="00181672"/>
    <w:rsid w:val="00182450"/>
    <w:rsid w:val="001849ED"/>
    <w:rsid w:val="00186A7F"/>
    <w:rsid w:val="001871D1"/>
    <w:rsid w:val="001B2834"/>
    <w:rsid w:val="001C10E1"/>
    <w:rsid w:val="001C6311"/>
    <w:rsid w:val="001D18F0"/>
    <w:rsid w:val="001D5C24"/>
    <w:rsid w:val="001E2546"/>
    <w:rsid w:val="001F07DF"/>
    <w:rsid w:val="002038E1"/>
    <w:rsid w:val="00207D23"/>
    <w:rsid w:val="00212B3C"/>
    <w:rsid w:val="002143DF"/>
    <w:rsid w:val="00214713"/>
    <w:rsid w:val="00221B91"/>
    <w:rsid w:val="00221D99"/>
    <w:rsid w:val="00223E57"/>
    <w:rsid w:val="002250F8"/>
    <w:rsid w:val="00226F0E"/>
    <w:rsid w:val="00240151"/>
    <w:rsid w:val="00240746"/>
    <w:rsid w:val="002420F5"/>
    <w:rsid w:val="00244366"/>
    <w:rsid w:val="002463F7"/>
    <w:rsid w:val="0024799E"/>
    <w:rsid w:val="00250829"/>
    <w:rsid w:val="00254F8F"/>
    <w:rsid w:val="00256C88"/>
    <w:rsid w:val="00265C7E"/>
    <w:rsid w:val="00275CC4"/>
    <w:rsid w:val="00275D69"/>
    <w:rsid w:val="002762CF"/>
    <w:rsid w:val="002771F4"/>
    <w:rsid w:val="00282B2D"/>
    <w:rsid w:val="00287304"/>
    <w:rsid w:val="00294C1C"/>
    <w:rsid w:val="002A17EB"/>
    <w:rsid w:val="002A3A1D"/>
    <w:rsid w:val="002B1EE2"/>
    <w:rsid w:val="002B3DD3"/>
    <w:rsid w:val="002B5A42"/>
    <w:rsid w:val="002B7581"/>
    <w:rsid w:val="002C2608"/>
    <w:rsid w:val="002C46D4"/>
    <w:rsid w:val="002C5047"/>
    <w:rsid w:val="002D787D"/>
    <w:rsid w:val="002D7DE7"/>
    <w:rsid w:val="002E3537"/>
    <w:rsid w:val="002F59FF"/>
    <w:rsid w:val="003006BD"/>
    <w:rsid w:val="00301707"/>
    <w:rsid w:val="00301CBC"/>
    <w:rsid w:val="00301FC1"/>
    <w:rsid w:val="003043BF"/>
    <w:rsid w:val="003047A3"/>
    <w:rsid w:val="003138B8"/>
    <w:rsid w:val="00313DC7"/>
    <w:rsid w:val="0031656B"/>
    <w:rsid w:val="00316829"/>
    <w:rsid w:val="00322185"/>
    <w:rsid w:val="003250FB"/>
    <w:rsid w:val="00336339"/>
    <w:rsid w:val="00342EA4"/>
    <w:rsid w:val="003453C8"/>
    <w:rsid w:val="00350285"/>
    <w:rsid w:val="003526AB"/>
    <w:rsid w:val="003566A0"/>
    <w:rsid w:val="003723F6"/>
    <w:rsid w:val="003751E5"/>
    <w:rsid w:val="00375263"/>
    <w:rsid w:val="00392469"/>
    <w:rsid w:val="003932E0"/>
    <w:rsid w:val="003939AF"/>
    <w:rsid w:val="003A2482"/>
    <w:rsid w:val="003A4DC4"/>
    <w:rsid w:val="003A5614"/>
    <w:rsid w:val="003B518A"/>
    <w:rsid w:val="003B58B5"/>
    <w:rsid w:val="003B641F"/>
    <w:rsid w:val="003C195D"/>
    <w:rsid w:val="003E052B"/>
    <w:rsid w:val="003F48A0"/>
    <w:rsid w:val="003F59AE"/>
    <w:rsid w:val="004024BB"/>
    <w:rsid w:val="00407D91"/>
    <w:rsid w:val="00412F60"/>
    <w:rsid w:val="004133C8"/>
    <w:rsid w:val="00435ED9"/>
    <w:rsid w:val="00437FE6"/>
    <w:rsid w:val="004426EB"/>
    <w:rsid w:val="004475F5"/>
    <w:rsid w:val="004516B6"/>
    <w:rsid w:val="00457344"/>
    <w:rsid w:val="004574B4"/>
    <w:rsid w:val="00462BDF"/>
    <w:rsid w:val="00474253"/>
    <w:rsid w:val="00474A8F"/>
    <w:rsid w:val="00477D1D"/>
    <w:rsid w:val="00487CC6"/>
    <w:rsid w:val="004916F8"/>
    <w:rsid w:val="00492BF2"/>
    <w:rsid w:val="004A1798"/>
    <w:rsid w:val="004B1D6C"/>
    <w:rsid w:val="004B3557"/>
    <w:rsid w:val="004B4F3D"/>
    <w:rsid w:val="004B4F9C"/>
    <w:rsid w:val="004B4FF7"/>
    <w:rsid w:val="004C050E"/>
    <w:rsid w:val="004C178B"/>
    <w:rsid w:val="004C39D4"/>
    <w:rsid w:val="004D1395"/>
    <w:rsid w:val="004D1DE2"/>
    <w:rsid w:val="004D6984"/>
    <w:rsid w:val="004E0512"/>
    <w:rsid w:val="004E22C8"/>
    <w:rsid w:val="004F6CA2"/>
    <w:rsid w:val="00503890"/>
    <w:rsid w:val="00503D32"/>
    <w:rsid w:val="00510C07"/>
    <w:rsid w:val="005115EE"/>
    <w:rsid w:val="00516AF7"/>
    <w:rsid w:val="00521FCA"/>
    <w:rsid w:val="00524DDE"/>
    <w:rsid w:val="00534908"/>
    <w:rsid w:val="0054030E"/>
    <w:rsid w:val="005467AF"/>
    <w:rsid w:val="005473DF"/>
    <w:rsid w:val="0054757D"/>
    <w:rsid w:val="00554F46"/>
    <w:rsid w:val="00560532"/>
    <w:rsid w:val="0056088E"/>
    <w:rsid w:val="00561849"/>
    <w:rsid w:val="00574CAC"/>
    <w:rsid w:val="00575F61"/>
    <w:rsid w:val="00585830"/>
    <w:rsid w:val="00592967"/>
    <w:rsid w:val="00592B42"/>
    <w:rsid w:val="005A1B9E"/>
    <w:rsid w:val="005B23D9"/>
    <w:rsid w:val="005B4AE6"/>
    <w:rsid w:val="005C2959"/>
    <w:rsid w:val="005C3D7B"/>
    <w:rsid w:val="005C4530"/>
    <w:rsid w:val="005C6F82"/>
    <w:rsid w:val="005C7EC5"/>
    <w:rsid w:val="005D02BE"/>
    <w:rsid w:val="005D1A86"/>
    <w:rsid w:val="005D4CAB"/>
    <w:rsid w:val="005E1091"/>
    <w:rsid w:val="005E1D13"/>
    <w:rsid w:val="005E5098"/>
    <w:rsid w:val="005E7BB4"/>
    <w:rsid w:val="005F3346"/>
    <w:rsid w:val="005F46AE"/>
    <w:rsid w:val="005F5B31"/>
    <w:rsid w:val="005F5F17"/>
    <w:rsid w:val="00601482"/>
    <w:rsid w:val="00601D9F"/>
    <w:rsid w:val="00602FBA"/>
    <w:rsid w:val="0060436D"/>
    <w:rsid w:val="00610200"/>
    <w:rsid w:val="0061772E"/>
    <w:rsid w:val="00627F38"/>
    <w:rsid w:val="00632DC3"/>
    <w:rsid w:val="0063317B"/>
    <w:rsid w:val="00637CA1"/>
    <w:rsid w:val="0064218D"/>
    <w:rsid w:val="0064264F"/>
    <w:rsid w:val="00650C3F"/>
    <w:rsid w:val="00652397"/>
    <w:rsid w:val="00652EA8"/>
    <w:rsid w:val="0065763D"/>
    <w:rsid w:val="00663641"/>
    <w:rsid w:val="00663B0A"/>
    <w:rsid w:val="0067235F"/>
    <w:rsid w:val="00672B59"/>
    <w:rsid w:val="00676844"/>
    <w:rsid w:val="00677B4A"/>
    <w:rsid w:val="00680525"/>
    <w:rsid w:val="0068354C"/>
    <w:rsid w:val="006971BC"/>
    <w:rsid w:val="006C246D"/>
    <w:rsid w:val="006C35DF"/>
    <w:rsid w:val="006C66CF"/>
    <w:rsid w:val="006D2241"/>
    <w:rsid w:val="006D6F85"/>
    <w:rsid w:val="006E3898"/>
    <w:rsid w:val="006E552A"/>
    <w:rsid w:val="006E7B81"/>
    <w:rsid w:val="00715D6F"/>
    <w:rsid w:val="00716437"/>
    <w:rsid w:val="00717619"/>
    <w:rsid w:val="007203A5"/>
    <w:rsid w:val="00720AA9"/>
    <w:rsid w:val="007216EC"/>
    <w:rsid w:val="007247F8"/>
    <w:rsid w:val="00725D82"/>
    <w:rsid w:val="007270F4"/>
    <w:rsid w:val="00733EF8"/>
    <w:rsid w:val="0074326A"/>
    <w:rsid w:val="007443E8"/>
    <w:rsid w:val="00747450"/>
    <w:rsid w:val="00750361"/>
    <w:rsid w:val="00753DAE"/>
    <w:rsid w:val="00766DE8"/>
    <w:rsid w:val="00772167"/>
    <w:rsid w:val="00782663"/>
    <w:rsid w:val="00783D21"/>
    <w:rsid w:val="00786840"/>
    <w:rsid w:val="007919D4"/>
    <w:rsid w:val="007A26F6"/>
    <w:rsid w:val="007B183A"/>
    <w:rsid w:val="007C1037"/>
    <w:rsid w:val="007C5EED"/>
    <w:rsid w:val="007D2C43"/>
    <w:rsid w:val="007D577C"/>
    <w:rsid w:val="007E2ADD"/>
    <w:rsid w:val="007E70FA"/>
    <w:rsid w:val="007F2130"/>
    <w:rsid w:val="007F721C"/>
    <w:rsid w:val="008042B7"/>
    <w:rsid w:val="00806B47"/>
    <w:rsid w:val="00807E05"/>
    <w:rsid w:val="0082176C"/>
    <w:rsid w:val="00822732"/>
    <w:rsid w:val="00822BB0"/>
    <w:rsid w:val="00822E25"/>
    <w:rsid w:val="008236CE"/>
    <w:rsid w:val="00826BFB"/>
    <w:rsid w:val="008302CA"/>
    <w:rsid w:val="0085008F"/>
    <w:rsid w:val="00851196"/>
    <w:rsid w:val="00852909"/>
    <w:rsid w:val="008541C2"/>
    <w:rsid w:val="00857B7D"/>
    <w:rsid w:val="008611D9"/>
    <w:rsid w:val="0086287E"/>
    <w:rsid w:val="008637A4"/>
    <w:rsid w:val="00867191"/>
    <w:rsid w:val="008853EA"/>
    <w:rsid w:val="0088754F"/>
    <w:rsid w:val="00890A3C"/>
    <w:rsid w:val="00890DF9"/>
    <w:rsid w:val="00895F05"/>
    <w:rsid w:val="008A5FF1"/>
    <w:rsid w:val="008A6C03"/>
    <w:rsid w:val="008B07CA"/>
    <w:rsid w:val="008B1B2B"/>
    <w:rsid w:val="008B5105"/>
    <w:rsid w:val="008C3D03"/>
    <w:rsid w:val="008D229C"/>
    <w:rsid w:val="008D6A90"/>
    <w:rsid w:val="008E50E9"/>
    <w:rsid w:val="009044AB"/>
    <w:rsid w:val="00905DCA"/>
    <w:rsid w:val="009077EE"/>
    <w:rsid w:val="00910AC1"/>
    <w:rsid w:val="0091296C"/>
    <w:rsid w:val="00912C21"/>
    <w:rsid w:val="00920D06"/>
    <w:rsid w:val="0092184B"/>
    <w:rsid w:val="00922FD7"/>
    <w:rsid w:val="00925298"/>
    <w:rsid w:val="009255CE"/>
    <w:rsid w:val="00936C9B"/>
    <w:rsid w:val="00944B7B"/>
    <w:rsid w:val="00947602"/>
    <w:rsid w:val="00947C2D"/>
    <w:rsid w:val="00956839"/>
    <w:rsid w:val="00961895"/>
    <w:rsid w:val="00962E5C"/>
    <w:rsid w:val="00972420"/>
    <w:rsid w:val="009847D0"/>
    <w:rsid w:val="009908A1"/>
    <w:rsid w:val="00992170"/>
    <w:rsid w:val="00995029"/>
    <w:rsid w:val="0099612D"/>
    <w:rsid w:val="009A4D8C"/>
    <w:rsid w:val="009C1BCA"/>
    <w:rsid w:val="009C2B95"/>
    <w:rsid w:val="009C2DEA"/>
    <w:rsid w:val="009D1BCB"/>
    <w:rsid w:val="009D3AF6"/>
    <w:rsid w:val="009D6075"/>
    <w:rsid w:val="009D7B74"/>
    <w:rsid w:val="009E00BC"/>
    <w:rsid w:val="009E1879"/>
    <w:rsid w:val="009E52B6"/>
    <w:rsid w:val="009F416E"/>
    <w:rsid w:val="009F5E34"/>
    <w:rsid w:val="009F7588"/>
    <w:rsid w:val="00A00E2A"/>
    <w:rsid w:val="00A0221F"/>
    <w:rsid w:val="00A10B9D"/>
    <w:rsid w:val="00A177AE"/>
    <w:rsid w:val="00A23326"/>
    <w:rsid w:val="00A26913"/>
    <w:rsid w:val="00A26BA8"/>
    <w:rsid w:val="00A43DAC"/>
    <w:rsid w:val="00A51336"/>
    <w:rsid w:val="00A5244F"/>
    <w:rsid w:val="00A54301"/>
    <w:rsid w:val="00A64047"/>
    <w:rsid w:val="00A6580B"/>
    <w:rsid w:val="00A72040"/>
    <w:rsid w:val="00A8369B"/>
    <w:rsid w:val="00A84FF3"/>
    <w:rsid w:val="00AA2A01"/>
    <w:rsid w:val="00AD035E"/>
    <w:rsid w:val="00AD16DD"/>
    <w:rsid w:val="00AD4D13"/>
    <w:rsid w:val="00AD6CD6"/>
    <w:rsid w:val="00AE0E18"/>
    <w:rsid w:val="00AE19F8"/>
    <w:rsid w:val="00AE45CE"/>
    <w:rsid w:val="00AE6651"/>
    <w:rsid w:val="00AF7FC0"/>
    <w:rsid w:val="00B01BA6"/>
    <w:rsid w:val="00B02793"/>
    <w:rsid w:val="00B03FD1"/>
    <w:rsid w:val="00B06548"/>
    <w:rsid w:val="00B07574"/>
    <w:rsid w:val="00B07C86"/>
    <w:rsid w:val="00B10F3C"/>
    <w:rsid w:val="00B11196"/>
    <w:rsid w:val="00B12CFA"/>
    <w:rsid w:val="00B20437"/>
    <w:rsid w:val="00B2106A"/>
    <w:rsid w:val="00B2412B"/>
    <w:rsid w:val="00B25DCB"/>
    <w:rsid w:val="00B273C8"/>
    <w:rsid w:val="00B31CC8"/>
    <w:rsid w:val="00B53616"/>
    <w:rsid w:val="00B647AA"/>
    <w:rsid w:val="00B64AF8"/>
    <w:rsid w:val="00B657D1"/>
    <w:rsid w:val="00B65C2B"/>
    <w:rsid w:val="00B72F76"/>
    <w:rsid w:val="00B846B1"/>
    <w:rsid w:val="00B84C77"/>
    <w:rsid w:val="00B85F95"/>
    <w:rsid w:val="00B86ADB"/>
    <w:rsid w:val="00B87B28"/>
    <w:rsid w:val="00B905D9"/>
    <w:rsid w:val="00BB0123"/>
    <w:rsid w:val="00BB2502"/>
    <w:rsid w:val="00BB3F48"/>
    <w:rsid w:val="00BB5325"/>
    <w:rsid w:val="00BC0ED1"/>
    <w:rsid w:val="00BD0D91"/>
    <w:rsid w:val="00BE060C"/>
    <w:rsid w:val="00BE605B"/>
    <w:rsid w:val="00BF2BF2"/>
    <w:rsid w:val="00C02228"/>
    <w:rsid w:val="00C04F43"/>
    <w:rsid w:val="00C079F9"/>
    <w:rsid w:val="00C07B03"/>
    <w:rsid w:val="00C26078"/>
    <w:rsid w:val="00C26DFB"/>
    <w:rsid w:val="00C271C3"/>
    <w:rsid w:val="00C30373"/>
    <w:rsid w:val="00C3377E"/>
    <w:rsid w:val="00C347AB"/>
    <w:rsid w:val="00C410C9"/>
    <w:rsid w:val="00C43983"/>
    <w:rsid w:val="00C44580"/>
    <w:rsid w:val="00C46993"/>
    <w:rsid w:val="00C46CAB"/>
    <w:rsid w:val="00C5127E"/>
    <w:rsid w:val="00C51B08"/>
    <w:rsid w:val="00C546FA"/>
    <w:rsid w:val="00C63319"/>
    <w:rsid w:val="00C6389A"/>
    <w:rsid w:val="00C63941"/>
    <w:rsid w:val="00C77662"/>
    <w:rsid w:val="00C82D7C"/>
    <w:rsid w:val="00C92625"/>
    <w:rsid w:val="00C92638"/>
    <w:rsid w:val="00CA32F9"/>
    <w:rsid w:val="00CB0151"/>
    <w:rsid w:val="00CB070A"/>
    <w:rsid w:val="00CB24B9"/>
    <w:rsid w:val="00CB427E"/>
    <w:rsid w:val="00CB4DD3"/>
    <w:rsid w:val="00CC376A"/>
    <w:rsid w:val="00CC39F5"/>
    <w:rsid w:val="00CC405A"/>
    <w:rsid w:val="00CC59BA"/>
    <w:rsid w:val="00CD12C9"/>
    <w:rsid w:val="00CD194A"/>
    <w:rsid w:val="00CD25A0"/>
    <w:rsid w:val="00CD27C6"/>
    <w:rsid w:val="00CD424F"/>
    <w:rsid w:val="00CD4C62"/>
    <w:rsid w:val="00CD779A"/>
    <w:rsid w:val="00CE0077"/>
    <w:rsid w:val="00CE7C88"/>
    <w:rsid w:val="00CF6895"/>
    <w:rsid w:val="00CF78E1"/>
    <w:rsid w:val="00D042BD"/>
    <w:rsid w:val="00D103F9"/>
    <w:rsid w:val="00D13777"/>
    <w:rsid w:val="00D140B8"/>
    <w:rsid w:val="00D15C08"/>
    <w:rsid w:val="00D17FDB"/>
    <w:rsid w:val="00D264BF"/>
    <w:rsid w:val="00D343D9"/>
    <w:rsid w:val="00D42BCF"/>
    <w:rsid w:val="00D4498D"/>
    <w:rsid w:val="00D44D83"/>
    <w:rsid w:val="00D44FE9"/>
    <w:rsid w:val="00D45422"/>
    <w:rsid w:val="00D454E8"/>
    <w:rsid w:val="00D5296F"/>
    <w:rsid w:val="00D55041"/>
    <w:rsid w:val="00D55E8A"/>
    <w:rsid w:val="00D56560"/>
    <w:rsid w:val="00D6046E"/>
    <w:rsid w:val="00D62882"/>
    <w:rsid w:val="00D66A8B"/>
    <w:rsid w:val="00D73139"/>
    <w:rsid w:val="00D73CB0"/>
    <w:rsid w:val="00D77BF4"/>
    <w:rsid w:val="00D8144E"/>
    <w:rsid w:val="00D86EF2"/>
    <w:rsid w:val="00D91D97"/>
    <w:rsid w:val="00D94293"/>
    <w:rsid w:val="00D96026"/>
    <w:rsid w:val="00DA0C2D"/>
    <w:rsid w:val="00DA1891"/>
    <w:rsid w:val="00DB2D9C"/>
    <w:rsid w:val="00DB466C"/>
    <w:rsid w:val="00DB4D77"/>
    <w:rsid w:val="00DB6451"/>
    <w:rsid w:val="00DB77DE"/>
    <w:rsid w:val="00DC1A39"/>
    <w:rsid w:val="00DC20B9"/>
    <w:rsid w:val="00DC5986"/>
    <w:rsid w:val="00DC7BAD"/>
    <w:rsid w:val="00DD0BD2"/>
    <w:rsid w:val="00DD452D"/>
    <w:rsid w:val="00DD661C"/>
    <w:rsid w:val="00DE0DE3"/>
    <w:rsid w:val="00DE3164"/>
    <w:rsid w:val="00E00BAD"/>
    <w:rsid w:val="00E01282"/>
    <w:rsid w:val="00E06CAB"/>
    <w:rsid w:val="00E137E4"/>
    <w:rsid w:val="00E24ABC"/>
    <w:rsid w:val="00E2673E"/>
    <w:rsid w:val="00E32F6F"/>
    <w:rsid w:val="00E33DFC"/>
    <w:rsid w:val="00E42305"/>
    <w:rsid w:val="00E428DA"/>
    <w:rsid w:val="00E46688"/>
    <w:rsid w:val="00E52C5C"/>
    <w:rsid w:val="00E630C5"/>
    <w:rsid w:val="00E74D65"/>
    <w:rsid w:val="00E7698E"/>
    <w:rsid w:val="00E87179"/>
    <w:rsid w:val="00E874E8"/>
    <w:rsid w:val="00E87734"/>
    <w:rsid w:val="00EA13D8"/>
    <w:rsid w:val="00EB0BF5"/>
    <w:rsid w:val="00EB0FDD"/>
    <w:rsid w:val="00EB72D9"/>
    <w:rsid w:val="00EC06ED"/>
    <w:rsid w:val="00ED176A"/>
    <w:rsid w:val="00EF0A6D"/>
    <w:rsid w:val="00EF1C4F"/>
    <w:rsid w:val="00EF2B85"/>
    <w:rsid w:val="00EF5901"/>
    <w:rsid w:val="00EF633E"/>
    <w:rsid w:val="00F15F40"/>
    <w:rsid w:val="00F257AC"/>
    <w:rsid w:val="00F30142"/>
    <w:rsid w:val="00F31BD8"/>
    <w:rsid w:val="00F32227"/>
    <w:rsid w:val="00F36166"/>
    <w:rsid w:val="00F4427C"/>
    <w:rsid w:val="00F44786"/>
    <w:rsid w:val="00F458FE"/>
    <w:rsid w:val="00F5034C"/>
    <w:rsid w:val="00F513E8"/>
    <w:rsid w:val="00F64863"/>
    <w:rsid w:val="00F740CD"/>
    <w:rsid w:val="00F8254F"/>
    <w:rsid w:val="00F82B97"/>
    <w:rsid w:val="00F82FB1"/>
    <w:rsid w:val="00F971FA"/>
    <w:rsid w:val="00F97DA7"/>
    <w:rsid w:val="00FA59B5"/>
    <w:rsid w:val="00FB42EF"/>
    <w:rsid w:val="00FC5051"/>
    <w:rsid w:val="00FD309F"/>
    <w:rsid w:val="00FD4D92"/>
    <w:rsid w:val="00FE2778"/>
    <w:rsid w:val="00FE3DAA"/>
    <w:rsid w:val="00FE6D70"/>
    <w:rsid w:val="00FE7D97"/>
    <w:rsid w:val="00FF0173"/>
    <w:rsid w:val="00FF5595"/>
    <w:rsid w:val="00FF5D02"/>
    <w:rsid w:val="00FF78C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746"/>
    <w:rPr>
      <w:sz w:val="24"/>
      <w:szCs w:val="24"/>
    </w:rPr>
  </w:style>
  <w:style w:type="paragraph" w:styleId="Rubrik1">
    <w:name w:val="heading 1"/>
    <w:basedOn w:val="Normal"/>
    <w:next w:val="Normal"/>
    <w:link w:val="Rubrik1Char"/>
    <w:qFormat/>
    <w:rsid w:val="00A10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06DD"/>
    <w:pPr>
      <w:ind w:left="720"/>
      <w:contextualSpacing/>
    </w:pPr>
  </w:style>
  <w:style w:type="character" w:customStyle="1" w:styleId="Rubrik1Char">
    <w:name w:val="Rubrik 1 Char"/>
    <w:basedOn w:val="Standardstycketeckensnitt"/>
    <w:link w:val="Rubrik1"/>
    <w:rsid w:val="00A10B9D"/>
    <w:rPr>
      <w:rFonts w:asciiTheme="majorHAnsi" w:eastAsiaTheme="majorEastAsia" w:hAnsiTheme="majorHAnsi" w:cstheme="majorBidi"/>
      <w:b/>
      <w:bCs/>
      <w:color w:val="365F91" w:themeColor="accent1" w:themeShade="BF"/>
      <w:sz w:val="28"/>
      <w:szCs w:val="28"/>
    </w:rPr>
  </w:style>
  <w:style w:type="paragraph" w:styleId="Underrubrik">
    <w:name w:val="Subtitle"/>
    <w:basedOn w:val="Normal"/>
    <w:next w:val="Normal"/>
    <w:link w:val="UnderrubrikChar"/>
    <w:qFormat/>
    <w:rsid w:val="005F46AE"/>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5F46AE"/>
    <w:rPr>
      <w:rFonts w:asciiTheme="majorHAnsi" w:eastAsiaTheme="majorEastAsia" w:hAnsiTheme="majorHAnsi" w:cstheme="majorBidi"/>
      <w:i/>
      <w:iCs/>
      <w:color w:val="4F81BD" w:themeColor="accent1"/>
      <w:spacing w:val="15"/>
      <w:sz w:val="24"/>
      <w:szCs w:val="24"/>
    </w:rPr>
  </w:style>
  <w:style w:type="table" w:styleId="Tabellrutnt">
    <w:name w:val="Table Grid"/>
    <w:basedOn w:val="Normaltabell"/>
    <w:rsid w:val="00804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ubrik">
    <w:name w:val="Title"/>
    <w:basedOn w:val="Normal"/>
    <w:next w:val="Normal"/>
    <w:link w:val="RubrikChar"/>
    <w:qFormat/>
    <w:rsid w:val="00C512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C5127E"/>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rsid w:val="00A26913"/>
    <w:rPr>
      <w:rFonts w:ascii="Tahoma" w:hAnsi="Tahoma" w:cs="Tahoma"/>
      <w:sz w:val="16"/>
      <w:szCs w:val="16"/>
    </w:rPr>
  </w:style>
  <w:style w:type="character" w:customStyle="1" w:styleId="BallongtextChar">
    <w:name w:val="Ballongtext Char"/>
    <w:basedOn w:val="Standardstycketeckensnitt"/>
    <w:link w:val="Ballongtext"/>
    <w:rsid w:val="00A26913"/>
    <w:rPr>
      <w:rFonts w:ascii="Tahoma" w:hAnsi="Tahoma" w:cs="Tahoma"/>
      <w:sz w:val="16"/>
      <w:szCs w:val="16"/>
    </w:rPr>
  </w:style>
  <w:style w:type="character" w:styleId="Stark">
    <w:name w:val="Strong"/>
    <w:basedOn w:val="Standardstycketeckensnitt"/>
    <w:qFormat/>
    <w:rsid w:val="002250F8"/>
    <w:rPr>
      <w:b/>
      <w:bCs/>
    </w:rPr>
  </w:style>
  <w:style w:type="paragraph" w:styleId="Sidhuvud">
    <w:name w:val="header"/>
    <w:basedOn w:val="Normal"/>
    <w:link w:val="SidhuvudChar"/>
    <w:uiPriority w:val="99"/>
    <w:rsid w:val="00962E5C"/>
    <w:pPr>
      <w:tabs>
        <w:tab w:val="center" w:pos="4536"/>
        <w:tab w:val="right" w:pos="9072"/>
      </w:tabs>
    </w:pPr>
  </w:style>
  <w:style w:type="character" w:customStyle="1" w:styleId="SidhuvudChar">
    <w:name w:val="Sidhuvud Char"/>
    <w:basedOn w:val="Standardstycketeckensnitt"/>
    <w:link w:val="Sidhuvud"/>
    <w:uiPriority w:val="99"/>
    <w:rsid w:val="00962E5C"/>
    <w:rPr>
      <w:sz w:val="24"/>
      <w:szCs w:val="24"/>
    </w:rPr>
  </w:style>
  <w:style w:type="paragraph" w:styleId="Sidfot">
    <w:name w:val="footer"/>
    <w:basedOn w:val="Normal"/>
    <w:link w:val="SidfotChar"/>
    <w:rsid w:val="00962E5C"/>
    <w:pPr>
      <w:tabs>
        <w:tab w:val="center" w:pos="4536"/>
        <w:tab w:val="right" w:pos="9072"/>
      </w:tabs>
    </w:pPr>
  </w:style>
  <w:style w:type="character" w:customStyle="1" w:styleId="SidfotChar">
    <w:name w:val="Sidfot Char"/>
    <w:basedOn w:val="Standardstycketeckensnitt"/>
    <w:link w:val="Sidfot"/>
    <w:rsid w:val="00962E5C"/>
    <w:rPr>
      <w:sz w:val="24"/>
      <w:szCs w:val="24"/>
    </w:rPr>
  </w:style>
  <w:style w:type="paragraph" w:styleId="Innehllsfrteckningsrubrik">
    <w:name w:val="TOC Heading"/>
    <w:basedOn w:val="Rubrik1"/>
    <w:next w:val="Normal"/>
    <w:uiPriority w:val="39"/>
    <w:semiHidden/>
    <w:unhideWhenUsed/>
    <w:qFormat/>
    <w:rsid w:val="00BB3F48"/>
    <w:pPr>
      <w:spacing w:line="276" w:lineRule="auto"/>
      <w:outlineLvl w:val="9"/>
    </w:pPr>
    <w:rPr>
      <w:lang w:eastAsia="en-US"/>
    </w:rPr>
  </w:style>
  <w:style w:type="paragraph" w:styleId="Innehll1">
    <w:name w:val="toc 1"/>
    <w:basedOn w:val="Normal"/>
    <w:next w:val="Normal"/>
    <w:autoRedefine/>
    <w:uiPriority w:val="39"/>
    <w:rsid w:val="00BB3F48"/>
    <w:pPr>
      <w:spacing w:after="100"/>
    </w:pPr>
  </w:style>
  <w:style w:type="character" w:styleId="Hyperlnk">
    <w:name w:val="Hyperlink"/>
    <w:basedOn w:val="Standardstycketeckensnitt"/>
    <w:uiPriority w:val="99"/>
    <w:unhideWhenUsed/>
    <w:rsid w:val="00BB3F48"/>
    <w:rPr>
      <w:color w:val="0000FF" w:themeColor="hyperlink"/>
      <w:u w:val="single"/>
    </w:rPr>
  </w:style>
  <w:style w:type="character" w:styleId="Betoning">
    <w:name w:val="Emphasis"/>
    <w:basedOn w:val="Standardstycketeckensnitt"/>
    <w:qFormat/>
    <w:rsid w:val="00DB6451"/>
    <w:rPr>
      <w:i/>
      <w:iCs/>
    </w:rPr>
  </w:style>
  <w:style w:type="paragraph" w:styleId="Dokumentversikt">
    <w:name w:val="Document Map"/>
    <w:basedOn w:val="Normal"/>
    <w:link w:val="DokumentversiktChar"/>
    <w:rsid w:val="005B4AE6"/>
    <w:rPr>
      <w:rFonts w:ascii="Tahoma" w:hAnsi="Tahoma" w:cs="Tahoma"/>
      <w:sz w:val="16"/>
      <w:szCs w:val="16"/>
    </w:rPr>
  </w:style>
  <w:style w:type="character" w:customStyle="1" w:styleId="DokumentversiktChar">
    <w:name w:val="Dokumentöversikt Char"/>
    <w:basedOn w:val="Standardstycketeckensnitt"/>
    <w:link w:val="Dokumentversikt"/>
    <w:rsid w:val="005B4A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1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D1EC4-656E-4AFA-94BA-AF18D25B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1295</Words>
  <Characters>7886</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HILSAN1229</dc:creator>
  <cp:lastModifiedBy>sankin0318</cp:lastModifiedBy>
  <cp:revision>4</cp:revision>
  <cp:lastPrinted>2015-10-07T12:32:00Z</cp:lastPrinted>
  <dcterms:created xsi:type="dcterms:W3CDTF">2017-02-21T14:18:00Z</dcterms:created>
  <dcterms:modified xsi:type="dcterms:W3CDTF">2017-02-21T14:26:00Z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8A7763B258EDEACAC1257ED700463E41</vt:lpwstr>
  </property>
  <property fmtid="{D5CDD505-2E9C-101B-9397-08002B2CF9AE}" pid="6" name="SW_DocHWND">
    <vt:r8>855016</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CN=Websrv5/OU=Webservice/O=Göteborgs Kommun</vt:lpwstr>
  </property>
  <property fmtid="{D5CDD505-2E9C-101B-9397-08002B2CF9AE}" pid="16" name="SW_DocumentDB">
    <vt:lpwstr>prod\KonsumentMedborgarservice\LIS\Projektrum\Gbgstadwebb.nsf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SWINGINTEGRATOR529000.DOT</vt:lpwstr>
  </property>
</Properties>
</file>